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4D86" w14:textId="00A2B480" w:rsidR="0008323D" w:rsidRPr="00D657CC" w:rsidRDefault="0008323D" w:rsidP="00C16BF3">
      <w:pPr>
        <w:pStyle w:val="Bezmezer"/>
        <w:jc w:val="both"/>
      </w:pPr>
    </w:p>
    <w:p w14:paraId="2A46941E" w14:textId="77777777" w:rsidR="0008323D" w:rsidRPr="00D657CC" w:rsidRDefault="00645B24" w:rsidP="00C16BF3">
      <w:pPr>
        <w:pStyle w:val="Bezmezer"/>
        <w:jc w:val="both"/>
      </w:pPr>
      <w:r w:rsidRPr="00D657CC">
        <w:t>Tisková zpráva</w:t>
      </w:r>
    </w:p>
    <w:p w14:paraId="6951C4BA" w14:textId="77777777" w:rsidR="00D657CC" w:rsidRPr="00003543" w:rsidRDefault="00D657CC" w:rsidP="00C16BF3">
      <w:pPr>
        <w:pStyle w:val="Bezmezer"/>
        <w:jc w:val="both"/>
        <w:rPr>
          <w:sz w:val="36"/>
          <w:szCs w:val="36"/>
        </w:rPr>
      </w:pPr>
    </w:p>
    <w:p w14:paraId="642368AD" w14:textId="5C93EC14" w:rsidR="00F332E8" w:rsidRPr="00B52428" w:rsidRDefault="00B52428" w:rsidP="00264DA2">
      <w:pPr>
        <w:pStyle w:val="Bezmezer"/>
        <w:rPr>
          <w:b/>
          <w:bCs/>
          <w:color w:val="365F91" w:themeColor="accent1" w:themeShade="BF"/>
          <w:sz w:val="40"/>
          <w:szCs w:val="40"/>
        </w:rPr>
      </w:pPr>
      <w:bookmarkStart w:id="0" w:name="_Hlk52864380"/>
      <w:r>
        <w:rPr>
          <w:b/>
          <w:bCs/>
          <w:color w:val="365F91" w:themeColor="accent1" w:themeShade="BF"/>
          <w:sz w:val="40"/>
          <w:szCs w:val="40"/>
        </w:rPr>
        <w:t xml:space="preserve">Češi </w:t>
      </w:r>
      <w:r w:rsidR="00264DA2">
        <w:rPr>
          <w:b/>
          <w:bCs/>
          <w:color w:val="365F91" w:themeColor="accent1" w:themeShade="BF"/>
          <w:sz w:val="40"/>
          <w:szCs w:val="40"/>
        </w:rPr>
        <w:t xml:space="preserve">stále </w:t>
      </w:r>
      <w:r>
        <w:rPr>
          <w:b/>
          <w:bCs/>
          <w:color w:val="365F91" w:themeColor="accent1" w:themeShade="BF"/>
          <w:sz w:val="40"/>
          <w:szCs w:val="40"/>
        </w:rPr>
        <w:t xml:space="preserve">podceňují </w:t>
      </w:r>
      <w:r w:rsidR="007371DB">
        <w:rPr>
          <w:b/>
          <w:bCs/>
          <w:color w:val="365F91" w:themeColor="accent1" w:themeShade="BF"/>
          <w:sz w:val="40"/>
          <w:szCs w:val="40"/>
        </w:rPr>
        <w:t>sledování hladiny</w:t>
      </w:r>
      <w:r w:rsidR="00DA18D7">
        <w:rPr>
          <w:b/>
          <w:bCs/>
          <w:color w:val="365F91" w:themeColor="accent1" w:themeShade="BF"/>
          <w:sz w:val="40"/>
          <w:szCs w:val="40"/>
        </w:rPr>
        <w:t xml:space="preserve"> </w:t>
      </w:r>
      <w:r w:rsidR="00264DA2">
        <w:rPr>
          <w:b/>
          <w:bCs/>
          <w:color w:val="365F91" w:themeColor="accent1" w:themeShade="BF"/>
          <w:sz w:val="40"/>
          <w:szCs w:val="40"/>
        </w:rPr>
        <w:t>c</w:t>
      </w:r>
      <w:r>
        <w:rPr>
          <w:b/>
          <w:bCs/>
          <w:color w:val="365F91" w:themeColor="accent1" w:themeShade="BF"/>
          <w:sz w:val="40"/>
          <w:szCs w:val="40"/>
        </w:rPr>
        <w:t>holesterol</w:t>
      </w:r>
      <w:r w:rsidR="00DA18D7">
        <w:rPr>
          <w:b/>
          <w:bCs/>
          <w:color w:val="365F91" w:themeColor="accent1" w:themeShade="BF"/>
          <w:sz w:val="40"/>
          <w:szCs w:val="40"/>
        </w:rPr>
        <w:t>u</w:t>
      </w:r>
      <w:r w:rsidR="007371DB">
        <w:rPr>
          <w:b/>
          <w:bCs/>
          <w:color w:val="365F91" w:themeColor="accent1" w:themeShade="BF"/>
          <w:sz w:val="40"/>
          <w:szCs w:val="40"/>
        </w:rPr>
        <w:t>, nejsou dostatečně informovaní</w:t>
      </w:r>
      <w:r>
        <w:rPr>
          <w:b/>
          <w:bCs/>
          <w:color w:val="365F91" w:themeColor="accent1" w:themeShade="BF"/>
          <w:sz w:val="40"/>
          <w:szCs w:val="40"/>
        </w:rPr>
        <w:t xml:space="preserve"> </w:t>
      </w:r>
    </w:p>
    <w:p w14:paraId="503678F0" w14:textId="77777777" w:rsidR="00675C93" w:rsidRDefault="00675C93" w:rsidP="00C16BF3">
      <w:pPr>
        <w:pStyle w:val="Bezmezer"/>
        <w:jc w:val="both"/>
        <w:rPr>
          <w:i/>
          <w:iCs/>
          <w:sz w:val="24"/>
          <w:szCs w:val="24"/>
        </w:rPr>
      </w:pPr>
    </w:p>
    <w:p w14:paraId="25C0FB1D" w14:textId="3748EE1C" w:rsidR="001A7708" w:rsidRPr="001A7708" w:rsidRDefault="00E81695" w:rsidP="00C16BF3">
      <w:pPr>
        <w:pStyle w:val="Bezmezer"/>
        <w:jc w:val="both"/>
        <w:rPr>
          <w:b/>
          <w:bCs/>
          <w:sz w:val="24"/>
          <w:szCs w:val="24"/>
        </w:rPr>
      </w:pPr>
      <w:r w:rsidRPr="001A7708">
        <w:rPr>
          <w:i/>
          <w:iCs/>
          <w:sz w:val="24"/>
          <w:szCs w:val="24"/>
        </w:rPr>
        <w:t>P</w:t>
      </w:r>
      <w:r w:rsidR="00E714F0" w:rsidRPr="001A7708">
        <w:rPr>
          <w:i/>
          <w:iCs/>
          <w:sz w:val="24"/>
          <w:szCs w:val="24"/>
        </w:rPr>
        <w:t>raha</w:t>
      </w:r>
      <w:r w:rsidR="00A16770" w:rsidRPr="001A7708">
        <w:rPr>
          <w:i/>
          <w:iCs/>
          <w:sz w:val="24"/>
          <w:szCs w:val="24"/>
        </w:rPr>
        <w:t xml:space="preserve"> </w:t>
      </w:r>
      <w:r w:rsidR="00D61A03">
        <w:rPr>
          <w:i/>
          <w:iCs/>
          <w:sz w:val="24"/>
          <w:szCs w:val="24"/>
        </w:rPr>
        <w:t>28</w:t>
      </w:r>
      <w:r w:rsidR="00EF102A" w:rsidRPr="001A7708">
        <w:rPr>
          <w:i/>
          <w:iCs/>
          <w:sz w:val="24"/>
          <w:szCs w:val="24"/>
        </w:rPr>
        <w:t xml:space="preserve">. </w:t>
      </w:r>
      <w:r w:rsidR="00D61A03">
        <w:rPr>
          <w:i/>
          <w:iCs/>
          <w:sz w:val="24"/>
          <w:szCs w:val="24"/>
        </w:rPr>
        <w:t>3</w:t>
      </w:r>
      <w:r w:rsidR="00F332E8" w:rsidRPr="001A7708">
        <w:rPr>
          <w:i/>
          <w:iCs/>
          <w:sz w:val="24"/>
          <w:szCs w:val="24"/>
        </w:rPr>
        <w:t>.</w:t>
      </w:r>
      <w:r w:rsidR="00EF102A" w:rsidRPr="001A7708">
        <w:rPr>
          <w:i/>
          <w:iCs/>
          <w:sz w:val="24"/>
          <w:szCs w:val="24"/>
        </w:rPr>
        <w:t xml:space="preserve"> 202</w:t>
      </w:r>
      <w:r w:rsidR="001A7708">
        <w:rPr>
          <w:i/>
          <w:iCs/>
          <w:sz w:val="24"/>
          <w:szCs w:val="24"/>
        </w:rPr>
        <w:t>3</w:t>
      </w:r>
      <w:r w:rsidR="00EF102A" w:rsidRPr="001A7708">
        <w:rPr>
          <w:b/>
          <w:bCs/>
          <w:i/>
          <w:iCs/>
          <w:sz w:val="24"/>
          <w:szCs w:val="24"/>
        </w:rPr>
        <w:t xml:space="preserve"> –</w:t>
      </w:r>
      <w:bookmarkEnd w:id="0"/>
      <w:r w:rsidR="00D657CC" w:rsidRPr="001A7708">
        <w:rPr>
          <w:b/>
          <w:bCs/>
          <w:i/>
          <w:iCs/>
          <w:sz w:val="24"/>
          <w:szCs w:val="24"/>
        </w:rPr>
        <w:t xml:space="preserve"> </w:t>
      </w:r>
      <w:r w:rsidR="001A7708" w:rsidRPr="001A7708">
        <w:rPr>
          <w:b/>
          <w:bCs/>
          <w:sz w:val="24"/>
          <w:szCs w:val="24"/>
        </w:rPr>
        <w:t>Znalosti Čechů o tom, jak v těle funguje cholesterol, jak vzniká ateroskleróza a jak a v jakém věku lze jejímu rozvoji předejít, jsou příliš povrchní. Ukázal to průzkum zdravotní gramotnosti, který si nechala vypracovat Zdravotní pojišťovna ministerstva vnitra ČR. Většina české populace tak není dostatečně motivovaná k tomu, aby si hlídala zdraví svých cév v</w:t>
      </w:r>
      <w:r w:rsidR="00CB41F6">
        <w:rPr>
          <w:b/>
          <w:bCs/>
          <w:sz w:val="24"/>
          <w:szCs w:val="24"/>
        </w:rPr>
        <w:t xml:space="preserve"> mladém</w:t>
      </w:r>
      <w:r w:rsidR="001A7708" w:rsidRPr="001A7708">
        <w:rPr>
          <w:b/>
          <w:bCs/>
          <w:sz w:val="24"/>
          <w:szCs w:val="24"/>
        </w:rPr>
        <w:t xml:space="preserve"> věku, kdy to má největší preventivní efekt. Na zdravotn</w:t>
      </w:r>
      <w:r w:rsidR="00D6535F">
        <w:rPr>
          <w:b/>
          <w:bCs/>
          <w:sz w:val="24"/>
          <w:szCs w:val="24"/>
        </w:rPr>
        <w:t>ický</w:t>
      </w:r>
      <w:r w:rsidR="001A7708" w:rsidRPr="001A7708">
        <w:rPr>
          <w:b/>
          <w:bCs/>
          <w:sz w:val="24"/>
          <w:szCs w:val="24"/>
        </w:rPr>
        <w:t xml:space="preserve"> systém to má nemalé ekonomické dopady.</w:t>
      </w:r>
    </w:p>
    <w:p w14:paraId="74B1B630" w14:textId="776E5109" w:rsidR="00F332E8" w:rsidRPr="00183801" w:rsidRDefault="00F332E8" w:rsidP="00C16BF3">
      <w:pPr>
        <w:pStyle w:val="Bezmezer"/>
        <w:jc w:val="both"/>
        <w:rPr>
          <w:b/>
          <w:bCs/>
          <w:sz w:val="24"/>
          <w:szCs w:val="24"/>
        </w:rPr>
      </w:pPr>
    </w:p>
    <w:p w14:paraId="5F3D83BE" w14:textId="634C67CB" w:rsidR="001A7708" w:rsidRDefault="001A7708" w:rsidP="00C16BF3">
      <w:pPr>
        <w:pStyle w:val="Bezmezer"/>
        <w:jc w:val="both"/>
      </w:pPr>
      <w:r w:rsidRPr="00AE49F8">
        <w:t>Průzkum byl zaměřen na zjištění, do jaké míry je česká populace poučena o příčinách, důsledcích a </w:t>
      </w:r>
      <w:r w:rsidR="003749B4" w:rsidRPr="00AE49F8">
        <w:t xml:space="preserve">možné </w:t>
      </w:r>
      <w:r w:rsidRPr="00AE49F8">
        <w:t>prevenci dlouhodobého poškozování cévní stěny, zejména cholesterolem. „Z</w:t>
      </w:r>
      <w:r w:rsidRPr="00AE49F8">
        <w:rPr>
          <w:i/>
          <w:iCs/>
        </w:rPr>
        <w:t xml:space="preserve">výšenou hladinu LDL-cholesterolu považujeme za hlavní rizikový faktor </w:t>
      </w:r>
      <w:r w:rsidR="003749B4" w:rsidRPr="00AE49F8">
        <w:rPr>
          <w:i/>
          <w:iCs/>
        </w:rPr>
        <w:t>aterosklerózy a jejích hlavních komplikací</w:t>
      </w:r>
      <w:r w:rsidRPr="00AE49F8">
        <w:rPr>
          <w:i/>
          <w:iCs/>
        </w:rPr>
        <w:t xml:space="preserve">, jako </w:t>
      </w:r>
      <w:r w:rsidR="003749B4" w:rsidRPr="00AE49F8">
        <w:rPr>
          <w:i/>
          <w:iCs/>
        </w:rPr>
        <w:t xml:space="preserve">jsou </w:t>
      </w:r>
      <w:r w:rsidR="00E961E1" w:rsidRPr="00AE49F8">
        <w:rPr>
          <w:i/>
          <w:iCs/>
        </w:rPr>
        <w:t xml:space="preserve">ischemická choroba srdeční, </w:t>
      </w:r>
      <w:r w:rsidRPr="00AE49F8">
        <w:rPr>
          <w:i/>
          <w:iCs/>
        </w:rPr>
        <w:t xml:space="preserve">infarkt myokardu, cévní mozková příhoda nebo ischemická choroba dolních končetin. Ročně </w:t>
      </w:r>
      <w:r w:rsidR="00987929" w:rsidRPr="00AE49F8">
        <w:rPr>
          <w:i/>
          <w:iCs/>
        </w:rPr>
        <w:t xml:space="preserve">u nás </w:t>
      </w:r>
      <w:r w:rsidR="003749B4" w:rsidRPr="00AE49F8">
        <w:rPr>
          <w:i/>
          <w:iCs/>
        </w:rPr>
        <w:t xml:space="preserve">na oběhová onemocnění </w:t>
      </w:r>
      <w:r w:rsidRPr="00AE49F8">
        <w:rPr>
          <w:i/>
          <w:iCs/>
        </w:rPr>
        <w:t xml:space="preserve">zemře asi </w:t>
      </w:r>
      <w:r w:rsidR="003749B4" w:rsidRPr="00AE49F8">
        <w:rPr>
          <w:i/>
          <w:iCs/>
        </w:rPr>
        <w:t>45 000</w:t>
      </w:r>
      <w:r w:rsidRPr="00AE49F8">
        <w:rPr>
          <w:i/>
          <w:iCs/>
        </w:rPr>
        <w:t xml:space="preserve"> lidí, což představuje </w:t>
      </w:r>
      <w:r w:rsidR="003749B4" w:rsidRPr="00AE49F8">
        <w:rPr>
          <w:i/>
          <w:iCs/>
        </w:rPr>
        <w:t xml:space="preserve">téměř jednu polovinu </w:t>
      </w:r>
      <w:r w:rsidRPr="00AE49F8">
        <w:rPr>
          <w:i/>
          <w:iCs/>
        </w:rPr>
        <w:t>celkové úmrtnosti,“</w:t>
      </w:r>
      <w:r w:rsidRPr="00AE49F8">
        <w:t xml:space="preserve"> říká náš přední odborník na preventivní kardiologii prof.</w:t>
      </w:r>
      <w:r w:rsidR="00987929" w:rsidRPr="00AE49F8">
        <w:t> </w:t>
      </w:r>
      <w:r w:rsidRPr="00AE49F8">
        <w:t>MUDr.</w:t>
      </w:r>
      <w:r w:rsidR="00AE49F8">
        <w:t> </w:t>
      </w:r>
      <w:r w:rsidRPr="00AE49F8">
        <w:t>Michal Vrablík,</w:t>
      </w:r>
      <w:r w:rsidR="00301DE5" w:rsidRPr="00AE49F8">
        <w:t> </w:t>
      </w:r>
      <w:r w:rsidRPr="00AE49F8">
        <w:t>Ph.D., který je garantem průzkumu.</w:t>
      </w:r>
    </w:p>
    <w:p w14:paraId="0536CAE4" w14:textId="22122EC6" w:rsidR="0019112F" w:rsidRPr="0019112F" w:rsidRDefault="0019112F" w:rsidP="00C16BF3">
      <w:pPr>
        <w:pStyle w:val="Bezmezer"/>
        <w:jc w:val="both"/>
      </w:pPr>
    </w:p>
    <w:p w14:paraId="6509D507" w14:textId="70B18B40" w:rsidR="008F1AA8" w:rsidRPr="0019112F" w:rsidRDefault="00987929" w:rsidP="00C16BF3">
      <w:pPr>
        <w:pStyle w:val="Bezmezer"/>
        <w:jc w:val="both"/>
      </w:pPr>
      <w:r w:rsidRPr="00AE49F8">
        <w:t>Ischemické</w:t>
      </w:r>
      <w:r w:rsidR="001A7708" w:rsidRPr="00AE49F8">
        <w:t xml:space="preserve"> komplikace</w:t>
      </w:r>
      <w:r w:rsidRPr="00AE49F8">
        <w:t xml:space="preserve">, tedy komplikace </w:t>
      </w:r>
      <w:r w:rsidR="00814417" w:rsidRPr="00AE49F8">
        <w:t>zapříčiněné nedostatečným přívodem kyslíku tepnami,</w:t>
      </w:r>
      <w:r w:rsidR="001A7708" w:rsidRPr="00AE49F8">
        <w:t xml:space="preserve"> se významně podílejí na situaci, která je pro naši zemi charakteristická, kdy </w:t>
      </w:r>
      <w:r w:rsidR="00780EBA">
        <w:t>délka života</w:t>
      </w:r>
      <w:r w:rsidR="001A7708" w:rsidRPr="00AE49F8">
        <w:t xml:space="preserve"> se</w:t>
      </w:r>
      <w:r w:rsidR="00814417" w:rsidRPr="00AE49F8">
        <w:t xml:space="preserve"> sice</w:t>
      </w:r>
      <w:r w:rsidR="001A7708" w:rsidRPr="00AE49F8">
        <w:t xml:space="preserve"> prodlužuje, ale značná část populace se nedožívá seniorního věku ve zdraví. Prodlužování života se daří díky stále se zdokonalujícím metodám léčby, ale za cenu zvyšující se finanční zátěže pro zdravotnický systém.</w:t>
      </w:r>
      <w:r w:rsidR="00F36171" w:rsidRPr="00AE49F8">
        <w:t xml:space="preserve"> Přitom </w:t>
      </w:r>
      <w:r w:rsidR="001A7CA1" w:rsidRPr="00AE49F8">
        <w:t xml:space="preserve">by pomohlo, kdyby si většina populace navykla </w:t>
      </w:r>
      <w:r w:rsidR="00623237" w:rsidRPr="00AE49F8">
        <w:t>hlídat svou hladinu</w:t>
      </w:r>
      <w:r w:rsidR="001A7CA1" w:rsidRPr="00AE49F8">
        <w:t xml:space="preserve"> </w:t>
      </w:r>
      <w:r w:rsidR="00623237" w:rsidRPr="00AE49F8">
        <w:t>tuků</w:t>
      </w:r>
      <w:r w:rsidR="001A7CA1" w:rsidRPr="00AE49F8">
        <w:t xml:space="preserve"> v</w:t>
      </w:r>
      <w:r w:rsidR="00623237" w:rsidRPr="00AE49F8">
        <w:t> </w:t>
      </w:r>
      <w:r w:rsidR="001A7CA1" w:rsidRPr="00AE49F8">
        <w:t>krvi</w:t>
      </w:r>
      <w:r w:rsidR="00623237" w:rsidRPr="00AE49F8">
        <w:t xml:space="preserve">. </w:t>
      </w:r>
      <w:r w:rsidR="003749B4" w:rsidRPr="00AE49F8">
        <w:t>Je</w:t>
      </w:r>
      <w:r w:rsidR="00623237" w:rsidRPr="00AE49F8">
        <w:t xml:space="preserve"> prokázáno, že snížení koncentrace LDL-cholesterolu o jeden milimol na litr vede k redukci rizika kardiovaskulárních příhod </w:t>
      </w:r>
      <w:r w:rsidR="00BB39CA" w:rsidRPr="00AE49F8">
        <w:t xml:space="preserve">podmíněných aterosklerózou </w:t>
      </w:r>
      <w:r w:rsidR="00623237" w:rsidRPr="00AE49F8">
        <w:t>o 22 procent</w:t>
      </w:r>
      <w:r w:rsidR="00180835">
        <w:t xml:space="preserve"> </w:t>
      </w:r>
      <w:r w:rsidR="00180835">
        <w:t>(za nadlimitní se obecně považují hodnoty nad 3 mmol/l</w:t>
      </w:r>
      <w:r w:rsidR="00AB4743">
        <w:t xml:space="preserve">, </w:t>
      </w:r>
      <w:r w:rsidR="00AE0EBA">
        <w:t xml:space="preserve">za </w:t>
      </w:r>
      <w:r w:rsidR="00AB4743">
        <w:t xml:space="preserve">optimální </w:t>
      </w:r>
      <w:r w:rsidR="00AE0EBA">
        <w:t>v konkrétních případech hodnoty</w:t>
      </w:r>
      <w:r w:rsidR="00AB4743">
        <w:t xml:space="preserve"> ještě nižší)</w:t>
      </w:r>
      <w:r w:rsidR="00623237" w:rsidRPr="00AE49F8">
        <w:t>.</w:t>
      </w:r>
    </w:p>
    <w:p w14:paraId="0E10E872" w14:textId="72B4B0C8" w:rsidR="00F353B5" w:rsidRDefault="00F353B5" w:rsidP="00C16BF3">
      <w:pPr>
        <w:pStyle w:val="Bezmezer"/>
        <w:jc w:val="both"/>
        <w:rPr>
          <w:color w:val="000000" w:themeColor="text1"/>
          <w:sz w:val="28"/>
          <w:szCs w:val="28"/>
        </w:rPr>
      </w:pPr>
    </w:p>
    <w:p w14:paraId="5266F2A6" w14:textId="092AE183" w:rsidR="004309B0" w:rsidRPr="004309B0" w:rsidRDefault="004309B0" w:rsidP="006B4485">
      <w:pPr>
        <w:pStyle w:val="Bezmezer"/>
        <w:rPr>
          <w:b/>
          <w:bCs/>
          <w:color w:val="365F91" w:themeColor="accent1" w:themeShade="BF"/>
          <w:sz w:val="28"/>
          <w:szCs w:val="28"/>
        </w:rPr>
      </w:pPr>
      <w:r>
        <w:rPr>
          <w:b/>
          <w:bCs/>
          <w:color w:val="365F91" w:themeColor="accent1" w:themeShade="BF"/>
          <w:sz w:val="28"/>
          <w:szCs w:val="28"/>
        </w:rPr>
        <w:t xml:space="preserve">Léky snižující hladinu tuků v krvi jsou hrazené </w:t>
      </w:r>
      <w:r w:rsidR="00180835">
        <w:rPr>
          <w:b/>
          <w:bCs/>
          <w:color w:val="365F91" w:themeColor="accent1" w:themeShade="BF"/>
          <w:sz w:val="28"/>
          <w:szCs w:val="28"/>
        </w:rPr>
        <w:t>ze zdravotního pojištění</w:t>
      </w:r>
    </w:p>
    <w:p w14:paraId="60F8A2EF" w14:textId="77777777" w:rsidR="004309B0" w:rsidRDefault="004309B0" w:rsidP="00C16BF3">
      <w:pPr>
        <w:pStyle w:val="Bezmezer"/>
        <w:jc w:val="both"/>
        <w:rPr>
          <w:color w:val="000000" w:themeColor="text1"/>
        </w:rPr>
      </w:pPr>
    </w:p>
    <w:p w14:paraId="263B6EED" w14:textId="55C0D001" w:rsidR="00BF1439" w:rsidRDefault="00023832" w:rsidP="00C16BF3">
      <w:pPr>
        <w:pStyle w:val="Bezmezer"/>
        <w:jc w:val="both"/>
        <w:rPr>
          <w:color w:val="000000" w:themeColor="text1"/>
        </w:rPr>
      </w:pPr>
      <w:r w:rsidRPr="00BF1439">
        <w:rPr>
          <w:color w:val="000000" w:themeColor="text1"/>
        </w:rPr>
        <w:t xml:space="preserve">Zdravotní pojišťovna ministerstva vnitra vynakládá ze základního fondu na hrazenou léčbu svých klientů ročně kolem 50 miliard korun. Z toho více než 2,5 miliardy jdou na léčbu ischemické choroby srdeční a mozkové mrtvice. </w:t>
      </w:r>
      <w:r w:rsidR="00BF1439">
        <w:rPr>
          <w:color w:val="000000" w:themeColor="text1"/>
        </w:rPr>
        <w:t>Další dvě miliardy stojí léčba hypertenze a s ní souvisejících komplikací a</w:t>
      </w:r>
      <w:r w:rsidR="00FA41F5">
        <w:rPr>
          <w:color w:val="000000" w:themeColor="text1"/>
        </w:rPr>
        <w:t> </w:t>
      </w:r>
      <w:r w:rsidR="00BF1439">
        <w:rPr>
          <w:color w:val="000000" w:themeColor="text1"/>
        </w:rPr>
        <w:t>roční náklady na léčbu diabetu</w:t>
      </w:r>
      <w:r w:rsidR="00FA41F5">
        <w:rPr>
          <w:color w:val="000000" w:themeColor="text1"/>
        </w:rPr>
        <w:t xml:space="preserve"> včetně komplikací činí 1,5 miliardy ročně. Všechna tato onemocnění jsou spojené nádoby.</w:t>
      </w:r>
      <w:r w:rsidR="00BF1439">
        <w:rPr>
          <w:color w:val="000000" w:themeColor="text1"/>
        </w:rPr>
        <w:t xml:space="preserve"> </w:t>
      </w:r>
      <w:r w:rsidR="00BE0A53">
        <w:rPr>
          <w:color w:val="000000" w:themeColor="text1"/>
        </w:rPr>
        <w:t>Na preventivní prohlídku, kterou má každý dospělý pojištěnec absolvovat pravidelně jednou za dva roky, dorazilo v průběhu dvouletého období</w:t>
      </w:r>
      <w:r w:rsidR="00960CF2">
        <w:rPr>
          <w:color w:val="000000" w:themeColor="text1"/>
        </w:rPr>
        <w:t xml:space="preserve"> z</w:t>
      </w:r>
      <w:r w:rsidR="00BE0A53">
        <w:rPr>
          <w:color w:val="000000" w:themeColor="text1"/>
        </w:rPr>
        <w:t xml:space="preserve"> dospělých klientů</w:t>
      </w:r>
      <w:r w:rsidR="00960CF2">
        <w:rPr>
          <w:color w:val="000000" w:themeColor="text1"/>
        </w:rPr>
        <w:t xml:space="preserve">, kterých má pojišťovna něco přes milion, </w:t>
      </w:r>
      <w:r w:rsidR="00BE0A53">
        <w:rPr>
          <w:color w:val="000000" w:themeColor="text1"/>
        </w:rPr>
        <w:t>pouhých 450 tisíc</w:t>
      </w:r>
      <w:r w:rsidR="00960CF2">
        <w:rPr>
          <w:color w:val="000000" w:themeColor="text1"/>
        </w:rPr>
        <w:t xml:space="preserve"> lidí</w:t>
      </w:r>
      <w:r w:rsidR="00BE0A53">
        <w:rPr>
          <w:color w:val="000000" w:themeColor="text1"/>
        </w:rPr>
        <w:t>.</w:t>
      </w:r>
      <w:r w:rsidR="0097174A">
        <w:rPr>
          <w:color w:val="000000" w:themeColor="text1"/>
        </w:rPr>
        <w:t xml:space="preserve"> Přitom praktický lékař nejenže vyšetří hladinu cholesterolu, ale doporučí i postup, jak dosáhnout jejího snížení, včetně preventivního užívání léků.</w:t>
      </w:r>
    </w:p>
    <w:p w14:paraId="1FA3C5DD" w14:textId="77777777" w:rsidR="0097174A" w:rsidRDefault="0097174A" w:rsidP="00C16BF3">
      <w:pPr>
        <w:pStyle w:val="Bezmezer"/>
        <w:jc w:val="both"/>
        <w:rPr>
          <w:i/>
          <w:iCs/>
          <w:color w:val="000000" w:themeColor="text1"/>
        </w:rPr>
      </w:pPr>
    </w:p>
    <w:p w14:paraId="02E51642" w14:textId="47BAE704" w:rsidR="00023832" w:rsidRPr="00023832" w:rsidRDefault="00AD5DCD" w:rsidP="00C16BF3">
      <w:pPr>
        <w:pStyle w:val="Bezmezer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Z</w:t>
      </w:r>
      <w:r w:rsidR="00023832" w:rsidRPr="00023832">
        <w:rPr>
          <w:i/>
          <w:iCs/>
          <w:color w:val="000000" w:themeColor="text1"/>
        </w:rPr>
        <w:t>a lé</w:t>
      </w:r>
      <w:r w:rsidR="0047536E">
        <w:rPr>
          <w:i/>
          <w:iCs/>
          <w:color w:val="000000" w:themeColor="text1"/>
        </w:rPr>
        <w:t>ky snižující hladinu lipidů</w:t>
      </w:r>
      <w:r w:rsidR="00FE7D3F">
        <w:rPr>
          <w:i/>
          <w:iCs/>
          <w:color w:val="000000" w:themeColor="text1"/>
        </w:rPr>
        <w:t xml:space="preserve"> (tuků)</w:t>
      </w:r>
      <w:r w:rsidR="0047536E">
        <w:rPr>
          <w:i/>
          <w:iCs/>
          <w:color w:val="000000" w:themeColor="text1"/>
        </w:rPr>
        <w:t xml:space="preserve"> v krvi</w:t>
      </w:r>
      <w:r w:rsidR="00023832">
        <w:rPr>
          <w:i/>
          <w:iCs/>
          <w:color w:val="000000" w:themeColor="text1"/>
        </w:rPr>
        <w:t>, kter</w:t>
      </w:r>
      <w:r w:rsidR="0047536E">
        <w:rPr>
          <w:i/>
          <w:iCs/>
          <w:color w:val="000000" w:themeColor="text1"/>
        </w:rPr>
        <w:t>é</w:t>
      </w:r>
      <w:r w:rsidR="00023832">
        <w:rPr>
          <w:i/>
          <w:iCs/>
          <w:color w:val="000000" w:themeColor="text1"/>
        </w:rPr>
        <w:t xml:space="preserve"> </w:t>
      </w:r>
      <w:r w:rsidR="0033085C">
        <w:rPr>
          <w:i/>
          <w:iCs/>
          <w:color w:val="000000" w:themeColor="text1"/>
        </w:rPr>
        <w:t>m</w:t>
      </w:r>
      <w:r w:rsidR="00E27D10">
        <w:rPr>
          <w:i/>
          <w:iCs/>
          <w:color w:val="000000" w:themeColor="text1"/>
        </w:rPr>
        <w:t>ělo</w:t>
      </w:r>
      <w:r w:rsidR="0033085C">
        <w:rPr>
          <w:i/>
          <w:iCs/>
          <w:color w:val="000000" w:themeColor="text1"/>
        </w:rPr>
        <w:t xml:space="preserve"> předepsáno</w:t>
      </w:r>
      <w:r w:rsidR="00023832" w:rsidRPr="00023832">
        <w:rPr>
          <w:i/>
          <w:iCs/>
          <w:color w:val="000000" w:themeColor="text1"/>
        </w:rPr>
        <w:t xml:space="preserve"> více </w:t>
      </w:r>
      <w:r w:rsidR="00023832">
        <w:rPr>
          <w:i/>
          <w:iCs/>
          <w:color w:val="000000" w:themeColor="text1"/>
        </w:rPr>
        <w:t>než</w:t>
      </w:r>
      <w:r w:rsidR="00023832" w:rsidRPr="00023832">
        <w:rPr>
          <w:i/>
          <w:iCs/>
          <w:color w:val="000000" w:themeColor="text1"/>
        </w:rPr>
        <w:t xml:space="preserve"> 410 tisíc </w:t>
      </w:r>
      <w:r w:rsidR="00023832">
        <w:rPr>
          <w:i/>
          <w:iCs/>
          <w:color w:val="000000" w:themeColor="text1"/>
        </w:rPr>
        <w:t xml:space="preserve">našich </w:t>
      </w:r>
      <w:r w:rsidR="00023832" w:rsidRPr="00023832">
        <w:rPr>
          <w:i/>
          <w:iCs/>
          <w:color w:val="000000" w:themeColor="text1"/>
        </w:rPr>
        <w:t>pojištěnců</w:t>
      </w:r>
      <w:r w:rsidR="00023832">
        <w:rPr>
          <w:i/>
          <w:iCs/>
          <w:color w:val="000000" w:themeColor="text1"/>
        </w:rPr>
        <w:t xml:space="preserve">, </w:t>
      </w:r>
      <w:r>
        <w:rPr>
          <w:i/>
          <w:iCs/>
          <w:color w:val="000000" w:themeColor="text1"/>
        </w:rPr>
        <w:t xml:space="preserve">jsme loni zaplatili </w:t>
      </w:r>
      <w:r w:rsidR="0072036C">
        <w:rPr>
          <w:i/>
          <w:iCs/>
          <w:color w:val="000000" w:themeColor="text1"/>
        </w:rPr>
        <w:t>přes</w:t>
      </w:r>
      <w:r w:rsidR="00023832" w:rsidRPr="00023832">
        <w:rPr>
          <w:i/>
          <w:iCs/>
          <w:color w:val="000000" w:themeColor="text1"/>
        </w:rPr>
        <w:t xml:space="preserve"> 300 milionů korun, z toho více </w:t>
      </w:r>
      <w:r w:rsidR="00023832">
        <w:rPr>
          <w:i/>
          <w:iCs/>
          <w:color w:val="000000" w:themeColor="text1"/>
        </w:rPr>
        <w:t>než</w:t>
      </w:r>
      <w:r w:rsidR="00023832" w:rsidRPr="00023832">
        <w:rPr>
          <w:i/>
          <w:iCs/>
          <w:color w:val="000000" w:themeColor="text1"/>
        </w:rPr>
        <w:t xml:space="preserve"> 200</w:t>
      </w:r>
      <w:r w:rsidR="00023832">
        <w:rPr>
          <w:i/>
          <w:iCs/>
          <w:color w:val="000000" w:themeColor="text1"/>
        </w:rPr>
        <w:t> </w:t>
      </w:r>
      <w:r w:rsidR="00023832" w:rsidRPr="00023832">
        <w:rPr>
          <w:i/>
          <w:iCs/>
          <w:color w:val="000000" w:themeColor="text1"/>
        </w:rPr>
        <w:t>mili</w:t>
      </w:r>
      <w:r w:rsidR="0072036C">
        <w:rPr>
          <w:i/>
          <w:iCs/>
          <w:color w:val="000000" w:themeColor="text1"/>
        </w:rPr>
        <w:t>o</w:t>
      </w:r>
      <w:r w:rsidR="00023832" w:rsidRPr="00023832">
        <w:rPr>
          <w:i/>
          <w:iCs/>
          <w:color w:val="000000" w:themeColor="text1"/>
        </w:rPr>
        <w:t xml:space="preserve">nů představovaly náklady na nejběžněji používaná léčiva, tzv. statiny. </w:t>
      </w:r>
      <w:r>
        <w:rPr>
          <w:i/>
          <w:iCs/>
          <w:color w:val="000000" w:themeColor="text1"/>
        </w:rPr>
        <w:t xml:space="preserve">Asi </w:t>
      </w:r>
      <w:r w:rsidR="00EE689C">
        <w:rPr>
          <w:i/>
          <w:iCs/>
          <w:color w:val="000000" w:themeColor="text1"/>
        </w:rPr>
        <w:t>pěti stům</w:t>
      </w:r>
      <w:r>
        <w:rPr>
          <w:i/>
          <w:iCs/>
          <w:color w:val="000000" w:themeColor="text1"/>
        </w:rPr>
        <w:t xml:space="preserve"> pojištěnců jsme loni uhradili léčbu těmi n</w:t>
      </w:r>
      <w:r w:rsidR="00023832" w:rsidRPr="00023832">
        <w:rPr>
          <w:i/>
          <w:iCs/>
          <w:color w:val="000000" w:themeColor="text1"/>
        </w:rPr>
        <w:t>ejmodernější</w:t>
      </w:r>
      <w:r>
        <w:rPr>
          <w:i/>
          <w:iCs/>
          <w:color w:val="000000" w:themeColor="text1"/>
        </w:rPr>
        <w:t>mi</w:t>
      </w:r>
      <w:r w:rsidR="00023832" w:rsidRPr="00023832">
        <w:rPr>
          <w:i/>
          <w:iCs/>
          <w:color w:val="000000" w:themeColor="text1"/>
        </w:rPr>
        <w:t xml:space="preserve"> hypolipidemik</w:t>
      </w:r>
      <w:r>
        <w:rPr>
          <w:i/>
          <w:iCs/>
          <w:color w:val="000000" w:themeColor="text1"/>
        </w:rPr>
        <w:t>y, což jsou</w:t>
      </w:r>
      <w:r w:rsidR="0047536E">
        <w:rPr>
          <w:i/>
          <w:iCs/>
          <w:color w:val="000000" w:themeColor="text1"/>
        </w:rPr>
        <w:t xml:space="preserve"> </w:t>
      </w:r>
      <w:r w:rsidR="00A6650E" w:rsidRPr="00023832">
        <w:rPr>
          <w:i/>
          <w:iCs/>
          <w:color w:val="000000" w:themeColor="text1"/>
        </w:rPr>
        <w:t>monoklonální</w:t>
      </w:r>
      <w:r w:rsidR="00023832" w:rsidRPr="00023832">
        <w:rPr>
          <w:i/>
          <w:iCs/>
          <w:color w:val="000000" w:themeColor="text1"/>
        </w:rPr>
        <w:t xml:space="preserve"> protilátk</w:t>
      </w:r>
      <w:r>
        <w:rPr>
          <w:i/>
          <w:iCs/>
          <w:color w:val="000000" w:themeColor="text1"/>
        </w:rPr>
        <w:t>y</w:t>
      </w:r>
      <w:r w:rsidR="0047536E">
        <w:rPr>
          <w:i/>
          <w:iCs/>
          <w:color w:val="000000" w:themeColor="text1"/>
        </w:rPr>
        <w:t>, tzv.</w:t>
      </w:r>
      <w:r w:rsidR="00023832" w:rsidRPr="00023832">
        <w:rPr>
          <w:i/>
          <w:iCs/>
          <w:color w:val="000000" w:themeColor="text1"/>
        </w:rPr>
        <w:t xml:space="preserve"> PCSK9 </w:t>
      </w:r>
      <w:r w:rsidR="00A6650E" w:rsidRPr="00023832">
        <w:rPr>
          <w:i/>
          <w:iCs/>
          <w:color w:val="000000" w:themeColor="text1"/>
        </w:rPr>
        <w:t>inhibitory</w:t>
      </w:r>
      <w:r>
        <w:rPr>
          <w:i/>
          <w:iCs/>
          <w:color w:val="000000" w:themeColor="text1"/>
        </w:rPr>
        <w:t xml:space="preserve">. Za ty jsme </w:t>
      </w:r>
      <w:r w:rsidR="0047536E">
        <w:rPr>
          <w:i/>
          <w:iCs/>
          <w:color w:val="000000" w:themeColor="text1"/>
        </w:rPr>
        <w:t>vydali</w:t>
      </w:r>
      <w:r w:rsidR="00023832" w:rsidRPr="00023832">
        <w:rPr>
          <w:i/>
          <w:iCs/>
          <w:color w:val="000000" w:themeColor="text1"/>
        </w:rPr>
        <w:t xml:space="preserve"> </w:t>
      </w:r>
      <w:r w:rsidR="00AC2A62">
        <w:rPr>
          <w:i/>
          <w:iCs/>
          <w:color w:val="000000" w:themeColor="text1"/>
        </w:rPr>
        <w:t>přes</w:t>
      </w:r>
      <w:r w:rsidR="00023832" w:rsidRPr="00023832">
        <w:rPr>
          <w:i/>
          <w:iCs/>
          <w:color w:val="000000" w:themeColor="text1"/>
        </w:rPr>
        <w:t xml:space="preserve"> 44</w:t>
      </w:r>
      <w:r w:rsidR="00960CF2">
        <w:rPr>
          <w:i/>
          <w:iCs/>
          <w:color w:val="000000" w:themeColor="text1"/>
        </w:rPr>
        <w:t> </w:t>
      </w:r>
      <w:r w:rsidR="00023832" w:rsidRPr="00023832">
        <w:rPr>
          <w:i/>
          <w:iCs/>
          <w:color w:val="000000" w:themeColor="text1"/>
        </w:rPr>
        <w:t>mili</w:t>
      </w:r>
      <w:r w:rsidR="0047536E">
        <w:rPr>
          <w:i/>
          <w:iCs/>
          <w:color w:val="000000" w:themeColor="text1"/>
        </w:rPr>
        <w:t>o</w:t>
      </w:r>
      <w:r w:rsidR="00023832" w:rsidRPr="00023832">
        <w:rPr>
          <w:i/>
          <w:iCs/>
          <w:color w:val="000000" w:themeColor="text1"/>
        </w:rPr>
        <w:t>nů</w:t>
      </w:r>
      <w:r>
        <w:rPr>
          <w:i/>
          <w:iCs/>
          <w:color w:val="000000" w:themeColor="text1"/>
        </w:rPr>
        <w:t xml:space="preserve"> korun</w:t>
      </w:r>
      <w:r w:rsidR="0047536E">
        <w:rPr>
          <w:i/>
          <w:iCs/>
          <w:color w:val="000000" w:themeColor="text1"/>
        </w:rPr>
        <w:t>,</w:t>
      </w:r>
      <w:r w:rsidR="00023832" w:rsidRPr="00023832">
        <w:rPr>
          <w:i/>
          <w:iCs/>
          <w:color w:val="000000" w:themeColor="text1"/>
        </w:rPr>
        <w:t>“</w:t>
      </w:r>
      <w:r w:rsidR="00023832" w:rsidRPr="00023832">
        <w:rPr>
          <w:color w:val="000000" w:themeColor="text1"/>
        </w:rPr>
        <w:t xml:space="preserve"> uvádí ředitelka zdravotnického úseku pojišťovny MUDr.</w:t>
      </w:r>
      <w:r w:rsidR="0072036C">
        <w:rPr>
          <w:color w:val="000000" w:themeColor="text1"/>
        </w:rPr>
        <w:t> </w:t>
      </w:r>
      <w:r w:rsidR="00023832" w:rsidRPr="00023832">
        <w:rPr>
          <w:color w:val="000000" w:themeColor="text1"/>
        </w:rPr>
        <w:t>Zdeňka Salcman Kučerová,</w:t>
      </w:r>
      <w:r w:rsidR="00960CF2">
        <w:rPr>
          <w:color w:val="000000" w:themeColor="text1"/>
        </w:rPr>
        <w:t> </w:t>
      </w:r>
      <w:r w:rsidR="00023832" w:rsidRPr="00023832">
        <w:rPr>
          <w:color w:val="000000" w:themeColor="text1"/>
        </w:rPr>
        <w:t>MBA.</w:t>
      </w:r>
    </w:p>
    <w:p w14:paraId="55FE1901" w14:textId="15D58846" w:rsidR="00F0451C" w:rsidRDefault="00F0451C" w:rsidP="00C16BF3">
      <w:pPr>
        <w:pStyle w:val="Bezmezer"/>
        <w:jc w:val="both"/>
        <w:rPr>
          <w:b/>
          <w:bCs/>
          <w:color w:val="365F91" w:themeColor="accent1" w:themeShade="BF"/>
          <w:sz w:val="28"/>
          <w:szCs w:val="28"/>
        </w:rPr>
      </w:pPr>
    </w:p>
    <w:p w14:paraId="01463E7A" w14:textId="0184E4B4" w:rsidR="001A7708" w:rsidRPr="00060A8D" w:rsidRDefault="003E2A35" w:rsidP="006B4485">
      <w:pPr>
        <w:pStyle w:val="Bezmezer"/>
        <w:rPr>
          <w:b/>
          <w:bCs/>
          <w:sz w:val="28"/>
          <w:szCs w:val="28"/>
        </w:rPr>
      </w:pPr>
      <w:r>
        <w:rPr>
          <w:b/>
          <w:bCs/>
          <w:color w:val="365F91" w:themeColor="accent1" w:themeShade="BF"/>
          <w:sz w:val="28"/>
          <w:szCs w:val="28"/>
        </w:rPr>
        <w:t xml:space="preserve">K </w:t>
      </w:r>
      <w:r w:rsidRPr="00F353B5">
        <w:rPr>
          <w:b/>
          <w:bCs/>
          <w:color w:val="365F91" w:themeColor="accent1" w:themeShade="BF"/>
          <w:sz w:val="28"/>
          <w:szCs w:val="28"/>
        </w:rPr>
        <w:t>lékům</w:t>
      </w:r>
      <w:r>
        <w:rPr>
          <w:b/>
          <w:bCs/>
          <w:color w:val="365F91" w:themeColor="accent1" w:themeShade="BF"/>
          <w:sz w:val="28"/>
          <w:szCs w:val="28"/>
        </w:rPr>
        <w:t xml:space="preserve"> </w:t>
      </w:r>
      <w:r w:rsidRPr="00B52428">
        <w:rPr>
          <w:b/>
          <w:bCs/>
          <w:color w:val="365F91" w:themeColor="accent1" w:themeShade="BF"/>
          <w:sz w:val="28"/>
          <w:szCs w:val="28"/>
        </w:rPr>
        <w:t>na</w:t>
      </w:r>
      <w:r>
        <w:rPr>
          <w:b/>
          <w:bCs/>
          <w:color w:val="365F91" w:themeColor="accent1" w:themeShade="BF"/>
          <w:sz w:val="28"/>
          <w:szCs w:val="28"/>
        </w:rPr>
        <w:t xml:space="preserve"> cholesterol má </w:t>
      </w:r>
      <w:r w:rsidR="00522F66">
        <w:rPr>
          <w:b/>
          <w:bCs/>
          <w:color w:val="365F91" w:themeColor="accent1" w:themeShade="BF"/>
          <w:sz w:val="28"/>
          <w:szCs w:val="28"/>
        </w:rPr>
        <w:t xml:space="preserve">ale </w:t>
      </w:r>
      <w:r>
        <w:rPr>
          <w:b/>
          <w:bCs/>
          <w:color w:val="365F91" w:themeColor="accent1" w:themeShade="BF"/>
          <w:sz w:val="28"/>
          <w:szCs w:val="28"/>
        </w:rPr>
        <w:t>řada lidí nedůvěru, nebo o nich vůbec nevědí</w:t>
      </w:r>
      <w:r w:rsidR="00D24383">
        <w:rPr>
          <w:b/>
          <w:bCs/>
          <w:color w:val="365F91" w:themeColor="accent1" w:themeShade="BF"/>
          <w:sz w:val="28"/>
          <w:szCs w:val="28"/>
        </w:rPr>
        <w:t>, ukázal průzkum</w:t>
      </w:r>
      <w:r w:rsidR="001A7708" w:rsidRPr="00426F9B">
        <w:rPr>
          <w:b/>
          <w:bCs/>
          <w:color w:val="365F91" w:themeColor="accent1" w:themeShade="BF"/>
          <w:sz w:val="28"/>
          <w:szCs w:val="28"/>
        </w:rPr>
        <w:t xml:space="preserve"> </w:t>
      </w:r>
    </w:p>
    <w:p w14:paraId="37BE34ED" w14:textId="77777777" w:rsidR="00C16BF3" w:rsidRDefault="00C16BF3" w:rsidP="00C16BF3">
      <w:pPr>
        <w:pStyle w:val="Bezmezer"/>
        <w:jc w:val="both"/>
      </w:pPr>
    </w:p>
    <w:p w14:paraId="4607F892" w14:textId="3963764D" w:rsidR="003E2A35" w:rsidRDefault="003E2A35" w:rsidP="00C16BF3">
      <w:pPr>
        <w:pStyle w:val="Bezmezer"/>
        <w:jc w:val="both"/>
      </w:pPr>
      <w:r>
        <w:t>Podle výsledků průzkumu</w:t>
      </w:r>
      <w:r w:rsidR="00601DCC">
        <w:t xml:space="preserve"> o </w:t>
      </w:r>
      <w:r w:rsidR="00522F66">
        <w:t xml:space="preserve">existenci </w:t>
      </w:r>
      <w:r w:rsidR="00601DCC">
        <w:t>statin</w:t>
      </w:r>
      <w:r w:rsidR="00522F66">
        <w:t>ů</w:t>
      </w:r>
      <w:r w:rsidR="00601DCC">
        <w:t xml:space="preserve"> někdy slyšelo 43 procent dotázaných, spíše ženy (48</w:t>
      </w:r>
      <w:r w:rsidR="00522F66">
        <w:t> </w:t>
      </w:r>
      <w:r w:rsidR="00601DCC">
        <w:t xml:space="preserve">procent) než muži (37 procent). </w:t>
      </w:r>
      <w:r w:rsidR="00522F66">
        <w:t xml:space="preserve">Většina z nich </w:t>
      </w:r>
      <w:r w:rsidR="00522F66" w:rsidRPr="007771C3">
        <w:t xml:space="preserve">správně uvedla, že přínosy užívání </w:t>
      </w:r>
      <w:r w:rsidR="00522F66">
        <w:t xml:space="preserve">těchto léků </w:t>
      </w:r>
      <w:r w:rsidR="00522F66" w:rsidRPr="007771C3">
        <w:t>převažují nad riziky nežádoucích účinků</w:t>
      </w:r>
      <w:r w:rsidR="00522F66">
        <w:t xml:space="preserve">. Existuje ale i poměrně velký podíl lidí, kteří se statinů pravděpodobně obávají a inklinují věřit mýtům. Mnozí jsou přesvědčeni o tom, že vyšší cholesterol škodí méně než užívání statinů (17 procent), že dlouhodobé užívání statinů poškozuje játra a ledviny (33 procent), že léčba statiny je nežádoucí v případě diabetiků (12 procent) a že nízká hladina cholesterolu zvyšuje riziko rakoviny (9 procent). Nic z toho není pravda. Kromě toho si 36 procent lidí myslí, že </w:t>
      </w:r>
      <w:r w:rsidR="00522F66" w:rsidRPr="007771C3">
        <w:t xml:space="preserve">užívání statinů je dočasné a po snížení hladiny cholesterolu je lze vysadit, </w:t>
      </w:r>
      <w:r w:rsidR="00522F66">
        <w:t>což je rovněž omyl</w:t>
      </w:r>
      <w:r w:rsidR="00522F66" w:rsidRPr="007771C3">
        <w:t>.</w:t>
      </w:r>
    </w:p>
    <w:p w14:paraId="21A60CA3" w14:textId="691AE54A" w:rsidR="00522F66" w:rsidRDefault="00522F66" w:rsidP="00C16BF3">
      <w:pPr>
        <w:pStyle w:val="Bezmezer"/>
        <w:jc w:val="both"/>
      </w:pPr>
    </w:p>
    <w:p w14:paraId="47DB4397" w14:textId="31287128" w:rsidR="00522F66" w:rsidRPr="00E8054E" w:rsidRDefault="00522F66" w:rsidP="006B4485">
      <w:pPr>
        <w:pStyle w:val="Bezmezer"/>
        <w:rPr>
          <w:b/>
          <w:bCs/>
          <w:color w:val="365F91" w:themeColor="accent1" w:themeShade="BF"/>
          <w:sz w:val="28"/>
          <w:szCs w:val="28"/>
        </w:rPr>
      </w:pPr>
      <w:r w:rsidRPr="00E8054E">
        <w:rPr>
          <w:b/>
          <w:bCs/>
          <w:color w:val="365F91" w:themeColor="accent1" w:themeShade="BF"/>
          <w:sz w:val="28"/>
          <w:szCs w:val="28"/>
        </w:rPr>
        <w:t xml:space="preserve">Jen každý pátý člověk tuší, že vyšší cholesterol má u nás </w:t>
      </w:r>
      <w:r w:rsidR="00636A46">
        <w:rPr>
          <w:b/>
          <w:bCs/>
          <w:color w:val="365F91" w:themeColor="accent1" w:themeShade="BF"/>
          <w:sz w:val="28"/>
          <w:szCs w:val="28"/>
        </w:rPr>
        <w:t>více než</w:t>
      </w:r>
      <w:r w:rsidRPr="00E8054E">
        <w:rPr>
          <w:b/>
          <w:bCs/>
          <w:color w:val="365F91" w:themeColor="accent1" w:themeShade="BF"/>
          <w:sz w:val="28"/>
          <w:szCs w:val="28"/>
        </w:rPr>
        <w:t xml:space="preserve"> 80 procent </w:t>
      </w:r>
      <w:r w:rsidR="00E8054E" w:rsidRPr="00E8054E">
        <w:rPr>
          <w:b/>
          <w:bCs/>
          <w:color w:val="365F91" w:themeColor="accent1" w:themeShade="BF"/>
          <w:sz w:val="28"/>
          <w:szCs w:val="28"/>
        </w:rPr>
        <w:t>dospělé populace</w:t>
      </w:r>
    </w:p>
    <w:p w14:paraId="23ADA3FF" w14:textId="77777777" w:rsidR="00C16BF3" w:rsidRDefault="00C16BF3" w:rsidP="00C16BF3">
      <w:pPr>
        <w:pStyle w:val="Bezmezer"/>
        <w:jc w:val="both"/>
      </w:pPr>
    </w:p>
    <w:p w14:paraId="14688886" w14:textId="1701307B" w:rsidR="00522F66" w:rsidRDefault="00BE6244" w:rsidP="00C16BF3">
      <w:pPr>
        <w:pStyle w:val="Bezmezer"/>
        <w:jc w:val="both"/>
      </w:pPr>
      <w:r>
        <w:t xml:space="preserve">Drtivá většina lidí neví, jaký je statisticky doložený podíl populace, kterého se vyšší hladina cholesterolu v krvi týká. Jen málokdo si zřejmě připouští, že problém se týká i jeho osobně. </w:t>
      </w:r>
      <w:r w:rsidR="00E8054E">
        <w:t>To, že jednou z příčin vyšší hladiny cholesterolu v krvi bývá dědičná metabolická porucha, která je v populaci celkem běžná, správně určilo 52 procent dotázaných. Zároveň to, že příčinou vyššího cholesterolu nemusí být výhradně nadmíra tuků ve stravě, připustilo j</w:t>
      </w:r>
      <w:r w:rsidR="00E8054E" w:rsidRPr="00C36D7A">
        <w:t>en 29 procent</w:t>
      </w:r>
      <w:r w:rsidR="00E8054E">
        <w:t xml:space="preserve"> respondentů. Znamená to, že lidé o možnosti dědičného zatížení buď nevědí, anebo se domnívají, že zdravý životní styl </w:t>
      </w:r>
      <w:r>
        <w:t xml:space="preserve">sám o sobě </w:t>
      </w:r>
      <w:r w:rsidR="00E8054E">
        <w:t xml:space="preserve">dokáže dědičnou poruchu </w:t>
      </w:r>
      <w:r>
        <w:t xml:space="preserve">u každého </w:t>
      </w:r>
      <w:r w:rsidR="00E8054E">
        <w:t xml:space="preserve">dostatečně kompenzovat. </w:t>
      </w:r>
    </w:p>
    <w:p w14:paraId="6BF61810" w14:textId="77777777" w:rsidR="00C16BF3" w:rsidRDefault="00C16BF3" w:rsidP="00C16BF3">
      <w:pPr>
        <w:pStyle w:val="Bezmezer"/>
        <w:jc w:val="both"/>
      </w:pPr>
    </w:p>
    <w:p w14:paraId="101A067C" w14:textId="6EA86AE8" w:rsidR="00C16BF3" w:rsidRPr="00C16BF3" w:rsidRDefault="00C16BF3" w:rsidP="006B4485">
      <w:pPr>
        <w:pStyle w:val="Bezmezer"/>
        <w:rPr>
          <w:b/>
          <w:bCs/>
          <w:color w:val="365F91" w:themeColor="accent1" w:themeShade="BF"/>
          <w:sz w:val="28"/>
          <w:szCs w:val="28"/>
        </w:rPr>
      </w:pPr>
      <w:r w:rsidRPr="00C16BF3">
        <w:rPr>
          <w:b/>
          <w:bCs/>
          <w:color w:val="365F91" w:themeColor="accent1" w:themeShade="BF"/>
          <w:sz w:val="28"/>
          <w:szCs w:val="28"/>
        </w:rPr>
        <w:t>Typické pro Čechy je, že se o svou naměřenou hodnotu LDL-cholesterolu nezajímají</w:t>
      </w:r>
    </w:p>
    <w:p w14:paraId="5D12060B" w14:textId="77777777" w:rsidR="00C16BF3" w:rsidRDefault="00C16BF3" w:rsidP="00C16BF3">
      <w:pPr>
        <w:pStyle w:val="Bezmezer"/>
        <w:jc w:val="both"/>
      </w:pPr>
    </w:p>
    <w:p w14:paraId="2ED5507F" w14:textId="2AA4E1A5" w:rsidR="00C16BF3" w:rsidRPr="009C1009" w:rsidRDefault="00C16BF3" w:rsidP="00C16BF3">
      <w:pPr>
        <w:pStyle w:val="Bezmezer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t>P</w:t>
      </w:r>
      <w:r w:rsidRPr="0002056A">
        <w:rPr>
          <w:rFonts w:eastAsia="Times New Roman" w:cstheme="minorHAnsi"/>
          <w:color w:val="000000"/>
        </w:rPr>
        <w:t>ouze 28</w:t>
      </w:r>
      <w:r>
        <w:rPr>
          <w:rFonts w:eastAsia="Times New Roman" w:cstheme="minorHAnsi"/>
          <w:color w:val="000000"/>
        </w:rPr>
        <w:t> procent</w:t>
      </w:r>
      <w:r w:rsidRPr="0002056A">
        <w:rPr>
          <w:rFonts w:eastAsia="Times New Roman" w:cstheme="minorHAnsi"/>
          <w:color w:val="000000"/>
        </w:rPr>
        <w:t xml:space="preserve"> respondentů ví, že </w:t>
      </w:r>
      <w:r>
        <w:rPr>
          <w:rFonts w:eastAsia="Times New Roman" w:cstheme="minorHAnsi"/>
          <w:color w:val="000000"/>
        </w:rPr>
        <w:t xml:space="preserve">první měření </w:t>
      </w:r>
      <w:r w:rsidRPr="0002056A">
        <w:rPr>
          <w:rFonts w:eastAsia="Times New Roman" w:cstheme="minorHAnsi"/>
          <w:color w:val="000000"/>
        </w:rPr>
        <w:t xml:space="preserve">cholesterolu </w:t>
      </w:r>
      <w:r>
        <w:rPr>
          <w:rFonts w:eastAsia="Times New Roman" w:cstheme="minorHAnsi"/>
          <w:color w:val="000000"/>
        </w:rPr>
        <w:t xml:space="preserve">má každý podstoupit nejpozději </w:t>
      </w:r>
      <w:r w:rsidRPr="0002056A">
        <w:rPr>
          <w:rFonts w:eastAsia="Times New Roman" w:cstheme="minorHAnsi"/>
          <w:color w:val="000000"/>
        </w:rPr>
        <w:t>v</w:t>
      </w:r>
      <w:r w:rsidR="00753528">
        <w:rPr>
          <w:rFonts w:eastAsia="Times New Roman" w:cstheme="minorHAnsi"/>
          <w:color w:val="000000"/>
        </w:rPr>
        <w:t> </w:t>
      </w:r>
      <w:r w:rsidRPr="0002056A">
        <w:rPr>
          <w:rFonts w:eastAsia="Times New Roman" w:cstheme="minorHAnsi"/>
          <w:color w:val="000000"/>
        </w:rPr>
        <w:t>18</w:t>
      </w:r>
      <w:r w:rsidR="00753528">
        <w:rPr>
          <w:rFonts w:eastAsia="Times New Roman" w:cstheme="minorHAnsi"/>
          <w:color w:val="000000"/>
        </w:rPr>
        <w:t> </w:t>
      </w:r>
      <w:r w:rsidRPr="0002056A">
        <w:rPr>
          <w:rFonts w:eastAsia="Times New Roman" w:cstheme="minorHAnsi"/>
          <w:color w:val="000000"/>
        </w:rPr>
        <w:t>letech</w:t>
      </w:r>
      <w:r>
        <w:rPr>
          <w:rFonts w:eastAsia="Times New Roman" w:cstheme="minorHAnsi"/>
          <w:color w:val="000000"/>
        </w:rPr>
        <w:t xml:space="preserve"> při </w:t>
      </w:r>
      <w:r w:rsidRPr="0002056A">
        <w:rPr>
          <w:rFonts w:eastAsia="Times New Roman" w:cstheme="minorHAnsi"/>
          <w:color w:val="000000"/>
        </w:rPr>
        <w:t>preventivní prohlíd</w:t>
      </w:r>
      <w:r>
        <w:rPr>
          <w:rFonts w:eastAsia="Times New Roman" w:cstheme="minorHAnsi"/>
          <w:color w:val="000000"/>
        </w:rPr>
        <w:t>ce</w:t>
      </w:r>
      <w:r w:rsidRPr="0002056A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u praktického lékaře.</w:t>
      </w:r>
      <w:r>
        <w:t xml:space="preserve"> Jen 32 procent z těch, kteří v posledním roce testováním prošli, umí říct, jaká hodnota LDL-cholesterolu jim vyšla. </w:t>
      </w:r>
      <w:r w:rsidRPr="00016143">
        <w:t xml:space="preserve">Ukázalo se, že </w:t>
      </w:r>
      <w:r>
        <w:t xml:space="preserve">Češi </w:t>
      </w:r>
      <w:r w:rsidRPr="00016143">
        <w:t>vním</w:t>
      </w:r>
      <w:r>
        <w:t>ají</w:t>
      </w:r>
      <w:r w:rsidRPr="00016143">
        <w:t xml:space="preserve"> </w:t>
      </w:r>
      <w:r>
        <w:t xml:space="preserve">odlišně </w:t>
      </w:r>
      <w:r w:rsidRPr="00016143">
        <w:t xml:space="preserve">důležitost měření cholesterolu, glykemie a krevního tlaku. Zatímco o hodnotě svého krevního tlaku má představu 93 procent dotázaných, svou </w:t>
      </w:r>
      <w:r w:rsidRPr="00016143">
        <w:rPr>
          <w:rFonts w:eastAsia="Times New Roman" w:cstheme="minorHAnsi"/>
          <w:color w:val="000000"/>
        </w:rPr>
        <w:t>hodnotu glykemie zná jen 42 procent, a h</w:t>
      </w:r>
      <w:r w:rsidRPr="00016143">
        <w:t>odnotu</w:t>
      </w:r>
      <w:r w:rsidRPr="00016143">
        <w:rPr>
          <w:rFonts w:eastAsia="Times New Roman" w:cstheme="minorHAnsi"/>
          <w:color w:val="000000"/>
        </w:rPr>
        <w:t xml:space="preserve"> LDL-cholesterolu dokonce jen 27</w:t>
      </w:r>
      <w:r>
        <w:rPr>
          <w:rFonts w:eastAsia="Times New Roman" w:cstheme="minorHAnsi"/>
          <w:color w:val="000000"/>
        </w:rPr>
        <w:t> </w:t>
      </w:r>
      <w:r w:rsidRPr="00016143">
        <w:rPr>
          <w:rFonts w:eastAsia="Times New Roman" w:cstheme="minorHAnsi"/>
          <w:color w:val="000000"/>
        </w:rPr>
        <w:t>procent dotázaných.</w:t>
      </w:r>
      <w:r>
        <w:rPr>
          <w:rFonts w:eastAsia="Times New Roman" w:cstheme="minorHAnsi"/>
          <w:color w:val="000000"/>
        </w:rPr>
        <w:t xml:space="preserve"> T</w:t>
      </w:r>
      <w:r w:rsidRPr="009C1009">
        <w:rPr>
          <w:rFonts w:ascii="Calibri" w:eastAsia="Times New Roman" w:hAnsi="Calibri" w:cs="Calibri"/>
          <w:color w:val="000000"/>
          <w:lang w:eastAsia="cs-CZ"/>
        </w:rPr>
        <w:t xml:space="preserve">řetina oslovených se </w:t>
      </w:r>
      <w:r>
        <w:rPr>
          <w:rFonts w:ascii="Calibri" w:eastAsia="Times New Roman" w:hAnsi="Calibri" w:cs="Calibri"/>
          <w:color w:val="000000"/>
          <w:lang w:eastAsia="cs-CZ"/>
        </w:rPr>
        <w:t>navíc</w:t>
      </w:r>
      <w:r w:rsidRPr="009C1009">
        <w:rPr>
          <w:rFonts w:ascii="Calibri" w:eastAsia="Times New Roman" w:hAnsi="Calibri" w:cs="Calibri"/>
          <w:color w:val="000000"/>
          <w:lang w:eastAsia="cs-CZ"/>
        </w:rPr>
        <w:t xml:space="preserve"> domnívá, že hladina LDL-</w:t>
      </w:r>
      <w:r>
        <w:rPr>
          <w:rFonts w:ascii="Calibri" w:eastAsia="Times New Roman" w:hAnsi="Calibri" w:cs="Calibri"/>
          <w:color w:val="000000"/>
          <w:lang w:eastAsia="cs-CZ"/>
        </w:rPr>
        <w:t>cholesterolu</w:t>
      </w:r>
      <w:r w:rsidRPr="009C1009">
        <w:rPr>
          <w:rFonts w:ascii="Calibri" w:eastAsia="Times New Roman" w:hAnsi="Calibri" w:cs="Calibri"/>
          <w:color w:val="000000"/>
          <w:lang w:eastAsia="cs-CZ"/>
        </w:rPr>
        <w:t xml:space="preserve"> nad 3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r w:rsidRPr="009C1009">
        <w:rPr>
          <w:rFonts w:ascii="Calibri" w:eastAsia="Times New Roman" w:hAnsi="Calibri" w:cs="Calibri"/>
          <w:color w:val="000000"/>
          <w:lang w:eastAsia="cs-CZ"/>
        </w:rPr>
        <w:t>mmol/l je ještě v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r w:rsidRPr="009C1009">
        <w:rPr>
          <w:rFonts w:ascii="Calibri" w:eastAsia="Times New Roman" w:hAnsi="Calibri" w:cs="Calibri"/>
          <w:color w:val="000000"/>
          <w:lang w:eastAsia="cs-CZ"/>
        </w:rPr>
        <w:t>normě</w:t>
      </w:r>
      <w:r>
        <w:rPr>
          <w:rFonts w:ascii="Calibri" w:eastAsia="Times New Roman" w:hAnsi="Calibri" w:cs="Calibri"/>
          <w:color w:val="000000"/>
          <w:lang w:eastAsia="cs-CZ"/>
        </w:rPr>
        <w:t>.</w:t>
      </w:r>
    </w:p>
    <w:p w14:paraId="487DE131" w14:textId="77777777" w:rsidR="00C16BF3" w:rsidRDefault="00C16BF3" w:rsidP="00C16BF3">
      <w:pPr>
        <w:pStyle w:val="Bezmezer"/>
        <w:jc w:val="both"/>
        <w:rPr>
          <w:rFonts w:eastAsia="Times New Roman" w:cstheme="minorHAnsi"/>
          <w:color w:val="000000"/>
        </w:rPr>
      </w:pPr>
    </w:p>
    <w:p w14:paraId="2034F277" w14:textId="77777777" w:rsidR="00C16BF3" w:rsidRPr="00C16BF3" w:rsidRDefault="00C16BF3" w:rsidP="00C16BF3">
      <w:pPr>
        <w:pStyle w:val="Bezmezer"/>
        <w:jc w:val="both"/>
        <w:rPr>
          <w:rFonts w:ascii="Calibri" w:eastAsia="Times New Roman" w:hAnsi="Calibri" w:cs="Calibri"/>
          <w:b/>
          <w:bCs/>
          <w:color w:val="365F91" w:themeColor="accent1" w:themeShade="BF"/>
          <w:sz w:val="28"/>
          <w:szCs w:val="28"/>
          <w:lang w:eastAsia="cs-CZ"/>
        </w:rPr>
      </w:pPr>
      <w:r w:rsidRPr="00B00E68">
        <w:rPr>
          <w:rFonts w:eastAsia="Times New Roman" w:cstheme="minorHAnsi"/>
          <w:color w:val="000000"/>
        </w:rPr>
        <w:t xml:space="preserve">Zvláště zarážející je, že svou hladinu </w:t>
      </w:r>
      <w:r>
        <w:rPr>
          <w:rFonts w:eastAsia="Times New Roman" w:cstheme="minorHAnsi"/>
          <w:color w:val="000000"/>
        </w:rPr>
        <w:t xml:space="preserve">LDL-cholesterolu </w:t>
      </w:r>
      <w:r w:rsidRPr="00B00E68">
        <w:rPr>
          <w:rFonts w:eastAsia="Times New Roman" w:cstheme="minorHAnsi"/>
          <w:color w:val="000000"/>
        </w:rPr>
        <w:t xml:space="preserve">neznají ani </w:t>
      </w:r>
      <w:r>
        <w:rPr>
          <w:rFonts w:eastAsia="Times New Roman" w:cstheme="minorHAnsi"/>
          <w:color w:val="000000"/>
        </w:rPr>
        <w:t>lidé</w:t>
      </w:r>
      <w:r w:rsidRPr="00B00E68">
        <w:rPr>
          <w:rFonts w:eastAsia="Times New Roman" w:cstheme="minorHAnsi"/>
          <w:color w:val="000000"/>
        </w:rPr>
        <w:t xml:space="preserve"> s vysokým rizikem</w:t>
      </w:r>
      <w:r>
        <w:rPr>
          <w:rFonts w:eastAsia="Times New Roman" w:cstheme="minorHAnsi"/>
          <w:color w:val="000000"/>
        </w:rPr>
        <w:t xml:space="preserve"> srdečně-cévních komplikací </w:t>
      </w:r>
      <w:r w:rsidRPr="00B00E68">
        <w:rPr>
          <w:rFonts w:eastAsia="Times New Roman" w:cstheme="minorHAnsi"/>
          <w:color w:val="000000"/>
        </w:rPr>
        <w:t>(70</w:t>
      </w:r>
      <w:r>
        <w:rPr>
          <w:rFonts w:eastAsia="Times New Roman" w:cstheme="minorHAnsi"/>
          <w:color w:val="000000"/>
        </w:rPr>
        <w:t> </w:t>
      </w:r>
      <w:r w:rsidRPr="00B00E68">
        <w:rPr>
          <w:rFonts w:eastAsia="Times New Roman" w:cstheme="minorHAnsi"/>
          <w:color w:val="000000"/>
        </w:rPr>
        <w:t>procent</w:t>
      </w:r>
      <w:r>
        <w:rPr>
          <w:rFonts w:eastAsia="Times New Roman" w:cstheme="minorHAnsi"/>
          <w:color w:val="000000"/>
        </w:rPr>
        <w:t xml:space="preserve"> z nich</w:t>
      </w:r>
      <w:r w:rsidRPr="00B00E68">
        <w:rPr>
          <w:rFonts w:eastAsia="Times New Roman" w:cstheme="minorHAnsi"/>
          <w:color w:val="000000"/>
        </w:rPr>
        <w:t>)</w:t>
      </w:r>
      <w:r>
        <w:rPr>
          <w:rFonts w:eastAsia="Times New Roman" w:cstheme="minorHAnsi"/>
          <w:color w:val="000000"/>
        </w:rPr>
        <w:t xml:space="preserve">, ani osoby </w:t>
      </w:r>
      <w:r w:rsidRPr="00B00E68">
        <w:rPr>
          <w:rFonts w:eastAsia="Times New Roman" w:cstheme="minorHAnsi"/>
          <w:color w:val="000000"/>
        </w:rPr>
        <w:t>s</w:t>
      </w:r>
      <w:r>
        <w:rPr>
          <w:rFonts w:eastAsia="Times New Roman" w:cstheme="minorHAnsi"/>
          <w:color w:val="000000"/>
        </w:rPr>
        <w:t> </w:t>
      </w:r>
      <w:r w:rsidRPr="00B00E68">
        <w:rPr>
          <w:rFonts w:eastAsia="Times New Roman" w:cstheme="minorHAnsi"/>
          <w:color w:val="000000"/>
        </w:rPr>
        <w:t>velmi vysokým</w:t>
      </w:r>
      <w:r>
        <w:rPr>
          <w:rFonts w:eastAsia="Times New Roman" w:cstheme="minorHAnsi"/>
          <w:color w:val="000000"/>
        </w:rPr>
        <w:t xml:space="preserve"> rizikem</w:t>
      </w:r>
      <w:r w:rsidRPr="00B00E68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těchto komplikací </w:t>
      </w:r>
      <w:r w:rsidRPr="00B00E68">
        <w:rPr>
          <w:rFonts w:eastAsia="Times New Roman" w:cstheme="minorHAnsi"/>
          <w:color w:val="000000"/>
        </w:rPr>
        <w:t>(49</w:t>
      </w:r>
      <w:r>
        <w:rPr>
          <w:rFonts w:eastAsia="Times New Roman" w:cstheme="minorHAnsi"/>
          <w:color w:val="000000"/>
        </w:rPr>
        <w:t> </w:t>
      </w:r>
      <w:r w:rsidRPr="00B00E68">
        <w:rPr>
          <w:rFonts w:eastAsia="Times New Roman" w:cstheme="minorHAnsi"/>
          <w:color w:val="000000"/>
        </w:rPr>
        <w:t>procent</w:t>
      </w:r>
      <w:r>
        <w:rPr>
          <w:rFonts w:eastAsia="Times New Roman" w:cstheme="minorHAnsi"/>
          <w:color w:val="000000"/>
        </w:rPr>
        <w:t xml:space="preserve"> z nich</w:t>
      </w:r>
      <w:r w:rsidRPr="00B00E68">
        <w:rPr>
          <w:rFonts w:eastAsia="Times New Roman" w:cstheme="minorHAnsi"/>
          <w:color w:val="000000"/>
        </w:rPr>
        <w:t>)</w:t>
      </w:r>
      <w:r>
        <w:rPr>
          <w:rFonts w:eastAsia="Times New Roman" w:cstheme="minorHAnsi"/>
          <w:color w:val="000000"/>
        </w:rPr>
        <w:t xml:space="preserve">. Ukazuje se, že by bylo prospěšné poučit populaci o tom, </w:t>
      </w:r>
      <w:r>
        <w:t>že neexistuje pro všechny stejná limitní hodnota oddělující optimální koncentraci LDL-cholesterolu od nadměrné, ale že jsou stanoveny čtyři limity, a to podle výše rizika rozvoje srdečně-cévního onemocnění, která je v případě každého člověka jiná.</w:t>
      </w:r>
      <w:r w:rsidRPr="00C16BF3">
        <w:rPr>
          <w:b/>
          <w:bCs/>
          <w:color w:val="365F91" w:themeColor="accent1" w:themeShade="BF"/>
          <w:sz w:val="28"/>
          <w:szCs w:val="28"/>
        </w:rPr>
        <w:t xml:space="preserve"> </w:t>
      </w:r>
    </w:p>
    <w:p w14:paraId="73195B6D" w14:textId="77777777" w:rsidR="00C16BF3" w:rsidRPr="00C16BF3" w:rsidRDefault="00C16BF3" w:rsidP="00C16BF3">
      <w:pPr>
        <w:pStyle w:val="Bezmezer"/>
        <w:jc w:val="both"/>
        <w:rPr>
          <w:b/>
          <w:bCs/>
          <w:color w:val="365F91" w:themeColor="accent1" w:themeShade="BF"/>
          <w:sz w:val="28"/>
          <w:szCs w:val="28"/>
        </w:rPr>
      </w:pPr>
    </w:p>
    <w:p w14:paraId="455A958B" w14:textId="74E9DCB2" w:rsidR="00C16BF3" w:rsidRPr="00C16BF3" w:rsidRDefault="00C16BF3" w:rsidP="006B4485">
      <w:pPr>
        <w:pStyle w:val="Bezmezer"/>
        <w:rPr>
          <w:rFonts w:eastAsia="Times New Roman" w:cstheme="minorHAnsi"/>
          <w:b/>
          <w:bCs/>
          <w:color w:val="365F91" w:themeColor="accent1" w:themeShade="BF"/>
          <w:sz w:val="28"/>
          <w:szCs w:val="28"/>
        </w:rPr>
      </w:pPr>
      <w:r w:rsidRPr="00C16BF3">
        <w:rPr>
          <w:rFonts w:eastAsia="Times New Roman" w:cstheme="minorHAnsi"/>
          <w:b/>
          <w:bCs/>
          <w:color w:val="365F91" w:themeColor="accent1" w:themeShade="BF"/>
          <w:sz w:val="28"/>
          <w:szCs w:val="28"/>
        </w:rPr>
        <w:t xml:space="preserve">V průzkumu se </w:t>
      </w:r>
      <w:r>
        <w:rPr>
          <w:rFonts w:eastAsia="Times New Roman" w:cstheme="minorHAnsi"/>
          <w:b/>
          <w:bCs/>
          <w:color w:val="365F91" w:themeColor="accent1" w:themeShade="BF"/>
          <w:sz w:val="28"/>
          <w:szCs w:val="28"/>
        </w:rPr>
        <w:t xml:space="preserve">také </w:t>
      </w:r>
      <w:r w:rsidRPr="00C16BF3">
        <w:rPr>
          <w:rFonts w:eastAsia="Times New Roman" w:cstheme="minorHAnsi"/>
          <w:b/>
          <w:bCs/>
          <w:color w:val="365F91" w:themeColor="accent1" w:themeShade="BF"/>
          <w:sz w:val="28"/>
          <w:szCs w:val="28"/>
        </w:rPr>
        <w:t>potvrdila známá fakta o životním stylu české populace</w:t>
      </w:r>
    </w:p>
    <w:p w14:paraId="74C88DBB" w14:textId="77777777" w:rsidR="00C16BF3" w:rsidRDefault="00C16BF3" w:rsidP="00C16BF3">
      <w:pPr>
        <w:pStyle w:val="Bezmezer"/>
        <w:jc w:val="both"/>
        <w:rPr>
          <w:rFonts w:eastAsia="Times New Roman" w:cstheme="minorHAnsi"/>
        </w:rPr>
      </w:pPr>
    </w:p>
    <w:p w14:paraId="6C5294B1" w14:textId="3F27CBF7" w:rsidR="00C16BF3" w:rsidRPr="00694685" w:rsidRDefault="00C16BF3" w:rsidP="00C16BF3">
      <w:pPr>
        <w:pStyle w:val="Bezmezer"/>
        <w:jc w:val="both"/>
      </w:pPr>
      <w:r w:rsidRPr="00694685">
        <w:rPr>
          <w:rFonts w:eastAsia="Times New Roman" w:cstheme="minorHAnsi"/>
        </w:rPr>
        <w:t>Potvrdil se vysoký výskyt nadváhy a obezity,</w:t>
      </w:r>
      <w:r>
        <w:rPr>
          <w:rFonts w:eastAsia="Times New Roman" w:cstheme="minorHAnsi"/>
        </w:rPr>
        <w:t xml:space="preserve"> naprostá</w:t>
      </w:r>
      <w:r w:rsidRPr="00694685">
        <w:rPr>
          <w:rFonts w:eastAsia="Times New Roman" w:cstheme="minorHAnsi"/>
        </w:rPr>
        <w:t xml:space="preserve"> absence pohybové aktivity a nedostatečná snaha stravovat se zdravěji. Alarmující je zjištění</w:t>
      </w:r>
      <w:r>
        <w:rPr>
          <w:rFonts w:eastAsia="Times New Roman" w:cstheme="minorHAnsi"/>
        </w:rPr>
        <w:t xml:space="preserve">, že </w:t>
      </w:r>
      <w:r>
        <w:t>48 procent p</w:t>
      </w:r>
      <w:r w:rsidRPr="00CF65C9">
        <w:t>opulace vnímá</w:t>
      </w:r>
      <w:r>
        <w:t xml:space="preserve"> </w:t>
      </w:r>
      <w:r w:rsidRPr="00694685">
        <w:t>e-cigaret</w:t>
      </w:r>
      <w:r>
        <w:t>y</w:t>
      </w:r>
      <w:r w:rsidRPr="00694685">
        <w:t xml:space="preserve"> a nahřívan</w:t>
      </w:r>
      <w:r>
        <w:t>ý</w:t>
      </w:r>
      <w:r w:rsidRPr="00694685">
        <w:t xml:space="preserve"> tabák</w:t>
      </w:r>
      <w:r w:rsidRPr="00CF65C9">
        <w:t xml:space="preserve"> jako bezpečnou alternativu ke kouření cigaret.</w:t>
      </w:r>
      <w:r>
        <w:t xml:space="preserve"> </w:t>
      </w:r>
    </w:p>
    <w:p w14:paraId="00D2616D" w14:textId="21F05643" w:rsidR="00522F66" w:rsidRDefault="00522F66" w:rsidP="00C16BF3">
      <w:pPr>
        <w:pStyle w:val="Bezmezer"/>
        <w:jc w:val="both"/>
      </w:pPr>
    </w:p>
    <w:p w14:paraId="1C29FCA5" w14:textId="544388A8" w:rsidR="00522F66" w:rsidRDefault="00C16BF3" w:rsidP="00C16BF3">
      <w:pPr>
        <w:pStyle w:val="Bezmezer"/>
        <w:jc w:val="both"/>
      </w:pPr>
      <w:r>
        <w:lastRenderedPageBreak/>
        <w:t>Celkov</w:t>
      </w:r>
      <w:r w:rsidR="003041FB">
        <w:t>ě</w:t>
      </w:r>
      <w:r>
        <w:t xml:space="preserve"> </w:t>
      </w:r>
      <w:r w:rsidR="003041FB">
        <w:t xml:space="preserve">z výsledků vyplývá, že </w:t>
      </w:r>
      <w:r>
        <w:t xml:space="preserve">lidé </w:t>
      </w:r>
      <w:r w:rsidR="003041FB">
        <w:t xml:space="preserve">sice </w:t>
      </w:r>
      <w:r>
        <w:t xml:space="preserve">mají </w:t>
      </w:r>
      <w:r w:rsidR="003041FB">
        <w:t xml:space="preserve">povšechné </w:t>
      </w:r>
      <w:r w:rsidRPr="00E056ED">
        <w:t xml:space="preserve">povědomí o </w:t>
      </w:r>
      <w:r>
        <w:t xml:space="preserve">tom, že vyšší </w:t>
      </w:r>
      <w:r w:rsidRPr="00E056ED">
        <w:t>koncentrace cholesterolu v krvi</w:t>
      </w:r>
      <w:r>
        <w:t xml:space="preserve"> škodí cévám a že </w:t>
      </w:r>
      <w:r>
        <w:rPr>
          <w:rFonts w:eastAsia="Times New Roman" w:cstheme="minorHAnsi"/>
          <w:color w:val="000000"/>
        </w:rPr>
        <w:t>je vhodné</w:t>
      </w:r>
      <w:r w:rsidRPr="00E056ED">
        <w:rPr>
          <w:rFonts w:eastAsia="Times New Roman" w:cstheme="minorHAnsi"/>
          <w:color w:val="000000"/>
        </w:rPr>
        <w:t xml:space="preserve"> hladin</w:t>
      </w:r>
      <w:r>
        <w:rPr>
          <w:rFonts w:eastAsia="Times New Roman" w:cstheme="minorHAnsi"/>
          <w:color w:val="000000"/>
        </w:rPr>
        <w:t>u</w:t>
      </w:r>
      <w:r w:rsidRPr="00E056ED">
        <w:rPr>
          <w:rFonts w:eastAsia="Times New Roman" w:cstheme="minorHAnsi"/>
          <w:color w:val="000000"/>
        </w:rPr>
        <w:t xml:space="preserve"> cholesterolu</w:t>
      </w:r>
      <w:r>
        <w:rPr>
          <w:rFonts w:eastAsia="Times New Roman" w:cstheme="minorHAnsi"/>
          <w:color w:val="000000"/>
        </w:rPr>
        <w:t xml:space="preserve"> v krvi sledovat. V</w:t>
      </w:r>
      <w:r w:rsidRPr="00E056ED">
        <w:rPr>
          <w:rFonts w:eastAsia="Times New Roman" w:cstheme="minorHAnsi"/>
          <w:color w:val="000000"/>
        </w:rPr>
        <w:t xml:space="preserve">ětšina lidí </w:t>
      </w:r>
      <w:r>
        <w:rPr>
          <w:rFonts w:eastAsia="Times New Roman" w:cstheme="minorHAnsi"/>
          <w:color w:val="000000"/>
        </w:rPr>
        <w:t>si je vědoma i toho, že cévy poškozuje kouření</w:t>
      </w:r>
      <w:r w:rsidRPr="00E056ED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V detailech a souvislostech ale problematice příliš nerozumějí. Přitom je známo, že l</w:t>
      </w:r>
      <w:r w:rsidRPr="00CF7137">
        <w:t xml:space="preserve">idé s nižší zdravotní gramotností podceňují </w:t>
      </w:r>
      <w:r>
        <w:t>prevenci, k lékaři přicházejí až při projevu zdravotních problémů a nejsou připraveni převzít svůj díl odpovědnosti za vývoj svého zdravotního stavu.</w:t>
      </w:r>
    </w:p>
    <w:p w14:paraId="266359EB" w14:textId="4C7D5F21" w:rsidR="00522F66" w:rsidRDefault="00522F66" w:rsidP="00C16BF3">
      <w:pPr>
        <w:pStyle w:val="Bezmezer"/>
        <w:jc w:val="both"/>
      </w:pPr>
    </w:p>
    <w:p w14:paraId="00B75384" w14:textId="3E3B5ECE" w:rsidR="00522F66" w:rsidRDefault="003041FB" w:rsidP="00C16BF3">
      <w:pPr>
        <w:pStyle w:val="Bezmezer"/>
        <w:jc w:val="both"/>
      </w:pPr>
      <w:r w:rsidRPr="002D7F06">
        <w:t xml:space="preserve">Průzkum </w:t>
      </w:r>
      <w:r>
        <w:t>realizovala</w:t>
      </w:r>
      <w:r w:rsidRPr="002D7F06">
        <w:t xml:space="preserve"> společnost Empirica s využitím respondentů z Českého národního panelu. K dotazování byl vybrán reprezentativní vzorek dospělé populace České republiky o velikosti 1</w:t>
      </w:r>
      <w:r>
        <w:t> </w:t>
      </w:r>
      <w:r w:rsidRPr="002D7F06">
        <w:t>034</w:t>
      </w:r>
      <w:r>
        <w:t> </w:t>
      </w:r>
      <w:r w:rsidRPr="002D7F06">
        <w:t>respondentů</w:t>
      </w:r>
      <w:r>
        <w:t>. Dotazování proběhlo ve dnech 16.–25. listopadu 2022.</w:t>
      </w:r>
    </w:p>
    <w:p w14:paraId="1B4F5F90" w14:textId="1E501ED4" w:rsidR="00522F66" w:rsidRDefault="00522F66" w:rsidP="00C16BF3">
      <w:pPr>
        <w:pStyle w:val="Bezmezer"/>
        <w:jc w:val="both"/>
      </w:pPr>
    </w:p>
    <w:p w14:paraId="02BB73C7" w14:textId="6C554BB8" w:rsidR="003041FB" w:rsidRDefault="003041FB" w:rsidP="00C16BF3">
      <w:pPr>
        <w:pStyle w:val="Bezmezer"/>
        <w:jc w:val="both"/>
      </w:pPr>
    </w:p>
    <w:p w14:paraId="1F46B50E" w14:textId="769C9128" w:rsidR="003041FB" w:rsidRDefault="003041FB" w:rsidP="00C16BF3">
      <w:pPr>
        <w:pStyle w:val="Bezmezer"/>
        <w:jc w:val="both"/>
      </w:pPr>
    </w:p>
    <w:p w14:paraId="6F7998C6" w14:textId="26E6DDD7" w:rsidR="003041FB" w:rsidRDefault="003041FB" w:rsidP="00C16BF3">
      <w:pPr>
        <w:pStyle w:val="Bezmezer"/>
        <w:jc w:val="both"/>
      </w:pPr>
    </w:p>
    <w:p w14:paraId="01D948F7" w14:textId="77777777" w:rsidR="003041FB" w:rsidRDefault="003041FB" w:rsidP="00C16BF3">
      <w:pPr>
        <w:pStyle w:val="Bezmezer"/>
        <w:jc w:val="both"/>
      </w:pPr>
    </w:p>
    <w:p w14:paraId="274C584A" w14:textId="77777777" w:rsidR="003041FB" w:rsidRPr="00924566" w:rsidRDefault="003041FB" w:rsidP="003041FB">
      <w:pPr>
        <w:pStyle w:val="Bezmezer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36E3D398" w14:textId="77777777" w:rsidR="003041FB" w:rsidRPr="00924566" w:rsidRDefault="003041FB" w:rsidP="003041FB">
      <w:pPr>
        <w:pStyle w:val="Bezmezer"/>
        <w:rPr>
          <w:i/>
          <w:iCs/>
        </w:rPr>
      </w:pPr>
      <w:r w:rsidRPr="00924566">
        <w:rPr>
          <w:i/>
          <w:iCs/>
        </w:rPr>
        <w:t>Jitka Mravinacová</w:t>
      </w:r>
    </w:p>
    <w:p w14:paraId="5D393759" w14:textId="77777777" w:rsidR="003041FB" w:rsidRPr="00924566" w:rsidRDefault="003041FB" w:rsidP="003041FB">
      <w:pPr>
        <w:pStyle w:val="Bezmezer"/>
        <w:rPr>
          <w:i/>
          <w:iCs/>
        </w:rPr>
      </w:pPr>
      <w:r w:rsidRPr="00924566">
        <w:rPr>
          <w:i/>
          <w:iCs/>
        </w:rPr>
        <w:t>PR specialistka ZP MV ČR</w:t>
      </w:r>
    </w:p>
    <w:p w14:paraId="770D35F5" w14:textId="77777777" w:rsidR="003041FB" w:rsidRDefault="003041FB" w:rsidP="003041FB">
      <w:pPr>
        <w:pStyle w:val="Bezmezer"/>
        <w:rPr>
          <w:i/>
          <w:iCs/>
          <w:sz w:val="20"/>
          <w:szCs w:val="20"/>
        </w:rPr>
      </w:pPr>
      <w:r w:rsidRPr="00924566">
        <w:rPr>
          <w:i/>
          <w:iCs/>
        </w:rPr>
        <w:t>tel.:</w:t>
      </w:r>
      <w:r w:rsidRPr="00924566">
        <w:rPr>
          <w:i/>
          <w:iCs/>
          <w:sz w:val="20"/>
          <w:szCs w:val="20"/>
        </w:rPr>
        <w:t xml:space="preserve"> </w:t>
      </w:r>
      <w:r w:rsidRPr="00E67F1B">
        <w:rPr>
          <w:i/>
          <w:iCs/>
        </w:rPr>
        <w:t>+420</w:t>
      </w:r>
      <w:r>
        <w:rPr>
          <w:i/>
          <w:iCs/>
        </w:rPr>
        <w:t> 601 693 769</w:t>
      </w:r>
    </w:p>
    <w:p w14:paraId="50DBF608" w14:textId="77777777" w:rsidR="003041FB" w:rsidRDefault="003041FB" w:rsidP="003041FB">
      <w:pPr>
        <w:pStyle w:val="Bezmezer"/>
        <w:rPr>
          <w:i/>
          <w:iCs/>
        </w:rPr>
      </w:pPr>
      <w:r>
        <w:rPr>
          <w:i/>
          <w:iCs/>
        </w:rPr>
        <w:t>e-mail: jitka.mravinacova@zpmvcr.cz</w:t>
      </w:r>
    </w:p>
    <w:p w14:paraId="46D647AC" w14:textId="391376CA" w:rsidR="0029323A" w:rsidRPr="00C1450E" w:rsidRDefault="009F2B8B" w:rsidP="00C16BF3">
      <w:pPr>
        <w:pStyle w:val="Bezmezer"/>
        <w:contextualSpacing/>
        <w:jc w:val="both"/>
        <w:rPr>
          <w:b/>
          <w:bCs/>
          <w:color w:val="365F91" w:themeColor="accent1" w:themeShade="BF"/>
          <w:sz w:val="20"/>
          <w:szCs w:val="20"/>
        </w:rPr>
      </w:pPr>
      <w:r w:rsidRPr="00C1450E">
        <w:rPr>
          <w:b/>
          <w:bCs/>
          <w:color w:val="365F91" w:themeColor="accent1" w:themeShade="BF"/>
          <w:sz w:val="20"/>
          <w:szCs w:val="20"/>
        </w:rPr>
        <w:t>___________________________________________________________________________________________</w:t>
      </w:r>
    </w:p>
    <w:p w14:paraId="66907B68" w14:textId="77777777" w:rsidR="005D6123" w:rsidRPr="00924566" w:rsidRDefault="005D6123" w:rsidP="00C16BF3">
      <w:pPr>
        <w:pStyle w:val="Bezmezer"/>
        <w:jc w:val="both"/>
        <w:rPr>
          <w:i/>
          <w:iCs/>
          <w:sz w:val="20"/>
          <w:szCs w:val="20"/>
        </w:rPr>
      </w:pPr>
    </w:p>
    <w:p w14:paraId="3F3CAAD4" w14:textId="65349447" w:rsidR="00D57D12" w:rsidRDefault="00462CFD" w:rsidP="00C16BF3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  <w:r w:rsidRPr="004305C4">
        <w:rPr>
          <w:rFonts w:ascii="Calibri" w:hAnsi="Calibri" w:cs="Calibri"/>
          <w:b/>
          <w:bCs/>
          <w:i/>
          <w:iCs/>
          <w:color w:val="232323"/>
          <w:sz w:val="20"/>
          <w:szCs w:val="20"/>
        </w:rPr>
        <w:t xml:space="preserve">Zdravotní pojišťovna </w:t>
      </w:r>
      <w:r w:rsidR="009C5AF9">
        <w:rPr>
          <w:rFonts w:ascii="Calibri" w:hAnsi="Calibri" w:cs="Calibri"/>
          <w:b/>
          <w:bCs/>
          <w:i/>
          <w:iCs/>
          <w:color w:val="232323"/>
          <w:sz w:val="20"/>
          <w:szCs w:val="20"/>
        </w:rPr>
        <w:t>m</w:t>
      </w:r>
      <w:r w:rsidRPr="004305C4">
        <w:rPr>
          <w:rFonts w:ascii="Calibri" w:hAnsi="Calibri" w:cs="Calibri"/>
          <w:b/>
          <w:bCs/>
          <w:i/>
          <w:iCs/>
          <w:color w:val="232323"/>
          <w:sz w:val="20"/>
          <w:szCs w:val="20"/>
        </w:rPr>
        <w:t xml:space="preserve">inisterstva vnitra ČR </w:t>
      </w:r>
      <w:r w:rsidRPr="004305C4">
        <w:rPr>
          <w:rFonts w:ascii="Calibri" w:hAnsi="Calibri" w:cs="Calibri"/>
          <w:i/>
          <w:iCs/>
          <w:color w:val="232323"/>
          <w:sz w:val="20"/>
          <w:szCs w:val="20"/>
        </w:rPr>
        <w:t xml:space="preserve">je s </w:t>
      </w:r>
      <w:r w:rsidRPr="004305C4">
        <w:rPr>
          <w:rFonts w:ascii="Calibri" w:hAnsi="Calibri" w:cs="Calibri"/>
          <w:i/>
          <w:iCs/>
          <w:sz w:val="20"/>
          <w:szCs w:val="20"/>
        </w:rPr>
        <w:t>více než 1,3 milionu klientů</w:t>
      </w:r>
      <w:r w:rsidRPr="004305C4">
        <w:rPr>
          <w:rFonts w:ascii="Calibri" w:hAnsi="Calibri" w:cs="Calibri"/>
          <w:i/>
          <w:iCs/>
          <w:color w:val="232323"/>
          <w:sz w:val="20"/>
          <w:szCs w:val="20"/>
        </w:rPr>
        <w:t xml:space="preserve"> druhou největší zdravotní pojišťovnou </w:t>
      </w:r>
      <w:r w:rsidRPr="004305C4">
        <w:rPr>
          <w:rFonts w:ascii="Calibri" w:hAnsi="Calibri" w:cs="Calibri"/>
          <w:i/>
          <w:iCs/>
          <w:sz w:val="20"/>
          <w:szCs w:val="20"/>
        </w:rPr>
        <w:t>v zemi. N</w:t>
      </w:r>
      <w:r w:rsidRPr="004305C4">
        <w:rPr>
          <w:rFonts w:ascii="Calibri" w:hAnsi="Calibri" w:cs="Calibri"/>
          <w:i/>
          <w:iCs/>
          <w:color w:val="232323"/>
          <w:sz w:val="20"/>
          <w:szCs w:val="20"/>
        </w:rPr>
        <w:t>a českém trhu působí už od roku 1992 a</w:t>
      </w:r>
      <w:r w:rsidRPr="004305C4">
        <w:rPr>
          <w:rFonts w:ascii="Calibri" w:hAnsi="Calibri" w:cs="Calibri"/>
          <w:i/>
          <w:iCs/>
          <w:sz w:val="20"/>
          <w:szCs w:val="20"/>
        </w:rPr>
        <w:t xml:space="preserve"> má smlouvy se všemi významnými zdravotnickými zařízeními. </w:t>
      </w:r>
      <w:r w:rsidR="00BC6FA9">
        <w:rPr>
          <w:rFonts w:ascii="Calibri" w:hAnsi="Calibri" w:cs="Calibri"/>
          <w:i/>
          <w:iCs/>
          <w:sz w:val="20"/>
          <w:szCs w:val="20"/>
        </w:rPr>
        <w:t>Healthcare Institut</w:t>
      </w:r>
      <w:r w:rsidR="004C2DF1">
        <w:rPr>
          <w:rFonts w:ascii="Calibri" w:hAnsi="Calibri" w:cs="Calibri"/>
          <w:i/>
          <w:iCs/>
          <w:sz w:val="20"/>
          <w:szCs w:val="20"/>
        </w:rPr>
        <w:t>e ji</w:t>
      </w:r>
      <w:r w:rsidR="009D58B5">
        <w:rPr>
          <w:rFonts w:ascii="Calibri" w:hAnsi="Calibri" w:cs="Calibri"/>
          <w:i/>
          <w:iCs/>
          <w:sz w:val="20"/>
          <w:szCs w:val="20"/>
        </w:rPr>
        <w:t xml:space="preserve"> v rámci svého projektu Zdravotní pojišťovna roku </w:t>
      </w:r>
      <w:r w:rsidR="00721D53">
        <w:rPr>
          <w:rFonts w:ascii="Calibri" w:hAnsi="Calibri" w:cs="Calibri"/>
          <w:i/>
          <w:iCs/>
          <w:sz w:val="20"/>
          <w:szCs w:val="20"/>
        </w:rPr>
        <w:t xml:space="preserve">v posledních pěti letech třikrát </w:t>
      </w:r>
      <w:r w:rsidR="004C2DF1">
        <w:rPr>
          <w:rFonts w:ascii="Calibri" w:hAnsi="Calibri" w:cs="Calibri"/>
          <w:i/>
          <w:iCs/>
          <w:sz w:val="20"/>
          <w:szCs w:val="20"/>
        </w:rPr>
        <w:t>vyhodnotil</w:t>
      </w:r>
      <w:r w:rsidR="00BC6FA9">
        <w:rPr>
          <w:rFonts w:ascii="Calibri" w:hAnsi="Calibri" w:cs="Calibri"/>
          <w:i/>
          <w:iCs/>
          <w:sz w:val="20"/>
          <w:szCs w:val="20"/>
        </w:rPr>
        <w:t xml:space="preserve"> jako </w:t>
      </w:r>
      <w:r w:rsidR="009D58B5">
        <w:rPr>
          <w:rFonts w:ascii="Calibri" w:hAnsi="Calibri" w:cs="Calibri"/>
          <w:i/>
          <w:iCs/>
          <w:sz w:val="20"/>
          <w:szCs w:val="20"/>
        </w:rPr>
        <w:t xml:space="preserve">nejlepší v kategorii </w:t>
      </w:r>
      <w:r w:rsidR="00BC6FA9">
        <w:rPr>
          <w:rFonts w:ascii="Calibri" w:hAnsi="Calibri" w:cs="Calibri"/>
          <w:i/>
          <w:iCs/>
          <w:sz w:val="20"/>
          <w:szCs w:val="20"/>
        </w:rPr>
        <w:t>f</w:t>
      </w:r>
      <w:r w:rsidRPr="004305C4">
        <w:rPr>
          <w:rFonts w:ascii="Calibri" w:hAnsi="Calibri" w:cs="Calibri"/>
          <w:i/>
          <w:iCs/>
          <w:sz w:val="20"/>
          <w:szCs w:val="20"/>
        </w:rPr>
        <w:t>inančn</w:t>
      </w:r>
      <w:r w:rsidR="009D58B5">
        <w:rPr>
          <w:rFonts w:ascii="Calibri" w:hAnsi="Calibri" w:cs="Calibri"/>
          <w:i/>
          <w:iCs/>
          <w:sz w:val="20"/>
          <w:szCs w:val="20"/>
        </w:rPr>
        <w:t>ího zdraví.</w:t>
      </w:r>
    </w:p>
    <w:sectPr w:rsidR="00D57D12" w:rsidSect="00F2433C">
      <w:headerReference w:type="default" r:id="rId8"/>
      <w:footerReference w:type="default" r:id="rId9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C7649" w14:textId="77777777" w:rsidR="00714B5D" w:rsidRDefault="00714B5D" w:rsidP="00D9767E">
      <w:pPr>
        <w:spacing w:after="0" w:line="240" w:lineRule="auto"/>
      </w:pPr>
      <w:r>
        <w:separator/>
      </w:r>
    </w:p>
  </w:endnote>
  <w:endnote w:type="continuationSeparator" w:id="0">
    <w:p w14:paraId="01F8724D" w14:textId="77777777" w:rsidR="00714B5D" w:rsidRDefault="00714B5D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410E" w14:textId="77777777" w:rsidR="005D6123" w:rsidRDefault="005D61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2EE3B" w14:textId="77777777" w:rsidR="00714B5D" w:rsidRDefault="00714B5D" w:rsidP="00D9767E">
      <w:pPr>
        <w:spacing w:after="0" w:line="240" w:lineRule="auto"/>
      </w:pPr>
      <w:r>
        <w:separator/>
      </w:r>
    </w:p>
  </w:footnote>
  <w:footnote w:type="continuationSeparator" w:id="0">
    <w:p w14:paraId="5B0A13A3" w14:textId="77777777" w:rsidR="00714B5D" w:rsidRDefault="00714B5D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BD42" w14:textId="6D89C070" w:rsidR="0061277A" w:rsidRDefault="0061277A">
    <w:pPr>
      <w:pStyle w:val="Zhlav"/>
    </w:pPr>
    <w:r>
      <w:rPr>
        <w:noProof/>
        <w:lang w:val="en-US"/>
      </w:rPr>
      <w:drawing>
        <wp:inline distT="0" distB="0" distL="0" distR="0" wp14:anchorId="3B51674C" wp14:editId="58A87A81">
          <wp:extent cx="1838325" cy="4286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05DDF"/>
    <w:multiLevelType w:val="multilevel"/>
    <w:tmpl w:val="1BC2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065679">
    <w:abstractNumId w:val="1"/>
  </w:num>
  <w:num w:numId="2" w16cid:durableId="784009157">
    <w:abstractNumId w:val="3"/>
  </w:num>
  <w:num w:numId="3" w16cid:durableId="821047316">
    <w:abstractNumId w:val="0"/>
  </w:num>
  <w:num w:numId="4" w16cid:durableId="1803036446">
    <w:abstractNumId w:val="4"/>
  </w:num>
  <w:num w:numId="5" w16cid:durableId="19014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5D1"/>
    <w:rsid w:val="000020C9"/>
    <w:rsid w:val="00002B1C"/>
    <w:rsid w:val="00003543"/>
    <w:rsid w:val="000115AB"/>
    <w:rsid w:val="0001399F"/>
    <w:rsid w:val="00016143"/>
    <w:rsid w:val="00020161"/>
    <w:rsid w:val="00020B69"/>
    <w:rsid w:val="00022E52"/>
    <w:rsid w:val="00023832"/>
    <w:rsid w:val="00031425"/>
    <w:rsid w:val="00032441"/>
    <w:rsid w:val="00033853"/>
    <w:rsid w:val="000340CD"/>
    <w:rsid w:val="00041104"/>
    <w:rsid w:val="0004114D"/>
    <w:rsid w:val="000453F3"/>
    <w:rsid w:val="00047183"/>
    <w:rsid w:val="000604AC"/>
    <w:rsid w:val="000630DB"/>
    <w:rsid w:val="000636C1"/>
    <w:rsid w:val="000645D1"/>
    <w:rsid w:val="0008323D"/>
    <w:rsid w:val="00091489"/>
    <w:rsid w:val="00091983"/>
    <w:rsid w:val="00092B35"/>
    <w:rsid w:val="0009594E"/>
    <w:rsid w:val="00096C44"/>
    <w:rsid w:val="000A205B"/>
    <w:rsid w:val="000A761D"/>
    <w:rsid w:val="000B17E4"/>
    <w:rsid w:val="000C02C7"/>
    <w:rsid w:val="000C047E"/>
    <w:rsid w:val="000C5C9A"/>
    <w:rsid w:val="000C65B4"/>
    <w:rsid w:val="000D52BD"/>
    <w:rsid w:val="000E0F11"/>
    <w:rsid w:val="00100E8D"/>
    <w:rsid w:val="00103896"/>
    <w:rsid w:val="001075C7"/>
    <w:rsid w:val="00114517"/>
    <w:rsid w:val="00116BE0"/>
    <w:rsid w:val="001177D7"/>
    <w:rsid w:val="00123A48"/>
    <w:rsid w:val="00132122"/>
    <w:rsid w:val="001338F2"/>
    <w:rsid w:val="00154890"/>
    <w:rsid w:val="00161DD9"/>
    <w:rsid w:val="001658CD"/>
    <w:rsid w:val="00172440"/>
    <w:rsid w:val="00180835"/>
    <w:rsid w:val="00181B6E"/>
    <w:rsid w:val="00182535"/>
    <w:rsid w:val="00182E2E"/>
    <w:rsid w:val="00183801"/>
    <w:rsid w:val="0019112F"/>
    <w:rsid w:val="00191F34"/>
    <w:rsid w:val="00197149"/>
    <w:rsid w:val="001A7708"/>
    <w:rsid w:val="001A7CA1"/>
    <w:rsid w:val="001B64C5"/>
    <w:rsid w:val="001B7AF0"/>
    <w:rsid w:val="001C6E1A"/>
    <w:rsid w:val="001D25C3"/>
    <w:rsid w:val="001D286F"/>
    <w:rsid w:val="001D2A44"/>
    <w:rsid w:val="001E25EF"/>
    <w:rsid w:val="001E26A0"/>
    <w:rsid w:val="001E3B64"/>
    <w:rsid w:val="001E73C0"/>
    <w:rsid w:val="001F0B0A"/>
    <w:rsid w:val="001F3B61"/>
    <w:rsid w:val="002136E1"/>
    <w:rsid w:val="0022253D"/>
    <w:rsid w:val="00232833"/>
    <w:rsid w:val="00237FB8"/>
    <w:rsid w:val="00246C95"/>
    <w:rsid w:val="002560BA"/>
    <w:rsid w:val="00264DA2"/>
    <w:rsid w:val="002703E1"/>
    <w:rsid w:val="00271010"/>
    <w:rsid w:val="00271E7B"/>
    <w:rsid w:val="002734AE"/>
    <w:rsid w:val="002756C8"/>
    <w:rsid w:val="00275D6A"/>
    <w:rsid w:val="00275FD9"/>
    <w:rsid w:val="00287FC6"/>
    <w:rsid w:val="002925F9"/>
    <w:rsid w:val="0029323A"/>
    <w:rsid w:val="002A1544"/>
    <w:rsid w:val="002A3D26"/>
    <w:rsid w:val="002A5734"/>
    <w:rsid w:val="002A65ED"/>
    <w:rsid w:val="002B01C5"/>
    <w:rsid w:val="002B106D"/>
    <w:rsid w:val="002B1C68"/>
    <w:rsid w:val="002B1D51"/>
    <w:rsid w:val="002B6A4B"/>
    <w:rsid w:val="002B6B10"/>
    <w:rsid w:val="002C3099"/>
    <w:rsid w:val="002D2609"/>
    <w:rsid w:val="002D3620"/>
    <w:rsid w:val="002D4BF8"/>
    <w:rsid w:val="002D7B36"/>
    <w:rsid w:val="002E01BB"/>
    <w:rsid w:val="002E6EE3"/>
    <w:rsid w:val="002E6FDD"/>
    <w:rsid w:val="002F3B27"/>
    <w:rsid w:val="00301DE5"/>
    <w:rsid w:val="003041FB"/>
    <w:rsid w:val="00305F05"/>
    <w:rsid w:val="003147C6"/>
    <w:rsid w:val="00314FA5"/>
    <w:rsid w:val="00317604"/>
    <w:rsid w:val="00320813"/>
    <w:rsid w:val="00321FA3"/>
    <w:rsid w:val="00322589"/>
    <w:rsid w:val="0032530D"/>
    <w:rsid w:val="0033085C"/>
    <w:rsid w:val="00345D5B"/>
    <w:rsid w:val="0034661B"/>
    <w:rsid w:val="003570EB"/>
    <w:rsid w:val="00360C26"/>
    <w:rsid w:val="00367352"/>
    <w:rsid w:val="00370001"/>
    <w:rsid w:val="0037041F"/>
    <w:rsid w:val="00373F80"/>
    <w:rsid w:val="003749B4"/>
    <w:rsid w:val="003758DD"/>
    <w:rsid w:val="00375C40"/>
    <w:rsid w:val="00376D3F"/>
    <w:rsid w:val="003775CB"/>
    <w:rsid w:val="00383CEE"/>
    <w:rsid w:val="00393328"/>
    <w:rsid w:val="00395392"/>
    <w:rsid w:val="003967C4"/>
    <w:rsid w:val="003A0E94"/>
    <w:rsid w:val="003A7BB8"/>
    <w:rsid w:val="003B08F1"/>
    <w:rsid w:val="003C1762"/>
    <w:rsid w:val="003C1F48"/>
    <w:rsid w:val="003C4455"/>
    <w:rsid w:val="003C4461"/>
    <w:rsid w:val="003C512C"/>
    <w:rsid w:val="003C733D"/>
    <w:rsid w:val="003D18D5"/>
    <w:rsid w:val="003D3311"/>
    <w:rsid w:val="003D40E6"/>
    <w:rsid w:val="003D77D6"/>
    <w:rsid w:val="003E2A35"/>
    <w:rsid w:val="003E45C5"/>
    <w:rsid w:val="003F0067"/>
    <w:rsid w:val="003F47AE"/>
    <w:rsid w:val="0040066F"/>
    <w:rsid w:val="00403087"/>
    <w:rsid w:val="00403212"/>
    <w:rsid w:val="00406008"/>
    <w:rsid w:val="00406099"/>
    <w:rsid w:val="00410421"/>
    <w:rsid w:val="00410655"/>
    <w:rsid w:val="0041593C"/>
    <w:rsid w:val="00415F5A"/>
    <w:rsid w:val="00417DFB"/>
    <w:rsid w:val="004213DF"/>
    <w:rsid w:val="00426F9B"/>
    <w:rsid w:val="004309B0"/>
    <w:rsid w:val="004357B0"/>
    <w:rsid w:val="0043737D"/>
    <w:rsid w:val="004416E5"/>
    <w:rsid w:val="00446E72"/>
    <w:rsid w:val="00454428"/>
    <w:rsid w:val="004620F8"/>
    <w:rsid w:val="00462CFD"/>
    <w:rsid w:val="00463E2A"/>
    <w:rsid w:val="0047536E"/>
    <w:rsid w:val="0047701D"/>
    <w:rsid w:val="00492BDA"/>
    <w:rsid w:val="00494534"/>
    <w:rsid w:val="004946A1"/>
    <w:rsid w:val="00495D5F"/>
    <w:rsid w:val="004B03A5"/>
    <w:rsid w:val="004B0A26"/>
    <w:rsid w:val="004B55FE"/>
    <w:rsid w:val="004B6492"/>
    <w:rsid w:val="004C0574"/>
    <w:rsid w:val="004C2DF1"/>
    <w:rsid w:val="004C5B01"/>
    <w:rsid w:val="004C6324"/>
    <w:rsid w:val="004C6DDE"/>
    <w:rsid w:val="004D2D16"/>
    <w:rsid w:val="004D366B"/>
    <w:rsid w:val="004D7144"/>
    <w:rsid w:val="004D7923"/>
    <w:rsid w:val="004E272F"/>
    <w:rsid w:val="004E3C0E"/>
    <w:rsid w:val="004E5572"/>
    <w:rsid w:val="004F0276"/>
    <w:rsid w:val="004F049B"/>
    <w:rsid w:val="004F148A"/>
    <w:rsid w:val="004F6647"/>
    <w:rsid w:val="00502B26"/>
    <w:rsid w:val="00511444"/>
    <w:rsid w:val="00513119"/>
    <w:rsid w:val="0051490F"/>
    <w:rsid w:val="00522F66"/>
    <w:rsid w:val="0052748E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4886"/>
    <w:rsid w:val="00585F98"/>
    <w:rsid w:val="00586E3A"/>
    <w:rsid w:val="00594606"/>
    <w:rsid w:val="00597F9F"/>
    <w:rsid w:val="005A1C8F"/>
    <w:rsid w:val="005A4B0C"/>
    <w:rsid w:val="005A61CE"/>
    <w:rsid w:val="005A7F89"/>
    <w:rsid w:val="005B2FF0"/>
    <w:rsid w:val="005B79AF"/>
    <w:rsid w:val="005C4472"/>
    <w:rsid w:val="005D06CF"/>
    <w:rsid w:val="005D0837"/>
    <w:rsid w:val="005D0AD7"/>
    <w:rsid w:val="005D6123"/>
    <w:rsid w:val="005E6BEA"/>
    <w:rsid w:val="005E7899"/>
    <w:rsid w:val="005F1405"/>
    <w:rsid w:val="005F4503"/>
    <w:rsid w:val="005F5076"/>
    <w:rsid w:val="005F75AF"/>
    <w:rsid w:val="00601DCC"/>
    <w:rsid w:val="00606022"/>
    <w:rsid w:val="00606FCB"/>
    <w:rsid w:val="0061277A"/>
    <w:rsid w:val="00616ADE"/>
    <w:rsid w:val="0062175E"/>
    <w:rsid w:val="00622623"/>
    <w:rsid w:val="00623237"/>
    <w:rsid w:val="00624B48"/>
    <w:rsid w:val="006275C7"/>
    <w:rsid w:val="006303F3"/>
    <w:rsid w:val="00634A77"/>
    <w:rsid w:val="00636A46"/>
    <w:rsid w:val="00636FCF"/>
    <w:rsid w:val="006401FB"/>
    <w:rsid w:val="00645B24"/>
    <w:rsid w:val="00650C9E"/>
    <w:rsid w:val="006519BB"/>
    <w:rsid w:val="00654343"/>
    <w:rsid w:val="00657AEA"/>
    <w:rsid w:val="00670035"/>
    <w:rsid w:val="0067363F"/>
    <w:rsid w:val="00675C93"/>
    <w:rsid w:val="006776C1"/>
    <w:rsid w:val="00681235"/>
    <w:rsid w:val="00683D07"/>
    <w:rsid w:val="00686DF3"/>
    <w:rsid w:val="006871BC"/>
    <w:rsid w:val="00694685"/>
    <w:rsid w:val="00697332"/>
    <w:rsid w:val="006A639E"/>
    <w:rsid w:val="006B0920"/>
    <w:rsid w:val="006B1BE5"/>
    <w:rsid w:val="006B4485"/>
    <w:rsid w:val="006C66A0"/>
    <w:rsid w:val="006D35D5"/>
    <w:rsid w:val="006E4889"/>
    <w:rsid w:val="006E4AAF"/>
    <w:rsid w:val="006E59EF"/>
    <w:rsid w:val="006E69FE"/>
    <w:rsid w:val="006F0E04"/>
    <w:rsid w:val="006F5F23"/>
    <w:rsid w:val="00701BCF"/>
    <w:rsid w:val="00702083"/>
    <w:rsid w:val="00703D74"/>
    <w:rsid w:val="00710DD0"/>
    <w:rsid w:val="00714B5D"/>
    <w:rsid w:val="0072036C"/>
    <w:rsid w:val="00721D53"/>
    <w:rsid w:val="00727FA5"/>
    <w:rsid w:val="00735559"/>
    <w:rsid w:val="007371DB"/>
    <w:rsid w:val="0074437D"/>
    <w:rsid w:val="0074642F"/>
    <w:rsid w:val="007508D7"/>
    <w:rsid w:val="00753528"/>
    <w:rsid w:val="00756897"/>
    <w:rsid w:val="00757EF0"/>
    <w:rsid w:val="0076004D"/>
    <w:rsid w:val="00764BB2"/>
    <w:rsid w:val="007664A5"/>
    <w:rsid w:val="00766864"/>
    <w:rsid w:val="00767A89"/>
    <w:rsid w:val="00772305"/>
    <w:rsid w:val="00772B02"/>
    <w:rsid w:val="00774225"/>
    <w:rsid w:val="00776AA1"/>
    <w:rsid w:val="00776E01"/>
    <w:rsid w:val="00780EBA"/>
    <w:rsid w:val="00783E1D"/>
    <w:rsid w:val="00785F85"/>
    <w:rsid w:val="007875F0"/>
    <w:rsid w:val="007912B4"/>
    <w:rsid w:val="007A1DCF"/>
    <w:rsid w:val="007B3E20"/>
    <w:rsid w:val="007C0A16"/>
    <w:rsid w:val="007C265A"/>
    <w:rsid w:val="007D0183"/>
    <w:rsid w:val="007E331A"/>
    <w:rsid w:val="007E7C24"/>
    <w:rsid w:val="008034D7"/>
    <w:rsid w:val="0080478A"/>
    <w:rsid w:val="00814417"/>
    <w:rsid w:val="00816DEB"/>
    <w:rsid w:val="00822219"/>
    <w:rsid w:val="00823C5F"/>
    <w:rsid w:val="00824E8E"/>
    <w:rsid w:val="00833317"/>
    <w:rsid w:val="00836C47"/>
    <w:rsid w:val="00851A73"/>
    <w:rsid w:val="008606B6"/>
    <w:rsid w:val="00863CC4"/>
    <w:rsid w:val="00865744"/>
    <w:rsid w:val="00865951"/>
    <w:rsid w:val="00866277"/>
    <w:rsid w:val="00874231"/>
    <w:rsid w:val="00883E86"/>
    <w:rsid w:val="00886A39"/>
    <w:rsid w:val="00887C46"/>
    <w:rsid w:val="00890927"/>
    <w:rsid w:val="008944DF"/>
    <w:rsid w:val="00895D6F"/>
    <w:rsid w:val="00897803"/>
    <w:rsid w:val="008A7535"/>
    <w:rsid w:val="008B022D"/>
    <w:rsid w:val="008B25E0"/>
    <w:rsid w:val="008B7BEF"/>
    <w:rsid w:val="008C4C24"/>
    <w:rsid w:val="008C64B1"/>
    <w:rsid w:val="008C7463"/>
    <w:rsid w:val="008D095D"/>
    <w:rsid w:val="008D1EFE"/>
    <w:rsid w:val="008D21ED"/>
    <w:rsid w:val="008D53C1"/>
    <w:rsid w:val="008E16BA"/>
    <w:rsid w:val="008E1D79"/>
    <w:rsid w:val="008E270C"/>
    <w:rsid w:val="008F1AA8"/>
    <w:rsid w:val="008F28CB"/>
    <w:rsid w:val="008F479C"/>
    <w:rsid w:val="00903A4F"/>
    <w:rsid w:val="009072FE"/>
    <w:rsid w:val="00910C51"/>
    <w:rsid w:val="0091194A"/>
    <w:rsid w:val="00913FF5"/>
    <w:rsid w:val="00923F38"/>
    <w:rsid w:val="00924566"/>
    <w:rsid w:val="00925C44"/>
    <w:rsid w:val="009268AF"/>
    <w:rsid w:val="00927D08"/>
    <w:rsid w:val="00931AC6"/>
    <w:rsid w:val="009351B3"/>
    <w:rsid w:val="00940B97"/>
    <w:rsid w:val="00943748"/>
    <w:rsid w:val="0094384E"/>
    <w:rsid w:val="00944170"/>
    <w:rsid w:val="009471B4"/>
    <w:rsid w:val="009503FF"/>
    <w:rsid w:val="009505CB"/>
    <w:rsid w:val="0095644C"/>
    <w:rsid w:val="00960CF2"/>
    <w:rsid w:val="00960DD0"/>
    <w:rsid w:val="00965074"/>
    <w:rsid w:val="00966B2A"/>
    <w:rsid w:val="0096708B"/>
    <w:rsid w:val="0097052F"/>
    <w:rsid w:val="0097174A"/>
    <w:rsid w:val="009743EE"/>
    <w:rsid w:val="00976050"/>
    <w:rsid w:val="00977D59"/>
    <w:rsid w:val="0098159C"/>
    <w:rsid w:val="00981AE2"/>
    <w:rsid w:val="0098234B"/>
    <w:rsid w:val="00986BEE"/>
    <w:rsid w:val="00986E28"/>
    <w:rsid w:val="00987929"/>
    <w:rsid w:val="009906B1"/>
    <w:rsid w:val="00995B46"/>
    <w:rsid w:val="009963FE"/>
    <w:rsid w:val="009965B0"/>
    <w:rsid w:val="009A0412"/>
    <w:rsid w:val="009B33EE"/>
    <w:rsid w:val="009C3134"/>
    <w:rsid w:val="009C348C"/>
    <w:rsid w:val="009C5AF9"/>
    <w:rsid w:val="009C5C40"/>
    <w:rsid w:val="009C6919"/>
    <w:rsid w:val="009D04CA"/>
    <w:rsid w:val="009D44E6"/>
    <w:rsid w:val="009D58B5"/>
    <w:rsid w:val="009D5B8F"/>
    <w:rsid w:val="009F2B8B"/>
    <w:rsid w:val="009F750F"/>
    <w:rsid w:val="00A0428F"/>
    <w:rsid w:val="00A06794"/>
    <w:rsid w:val="00A069A1"/>
    <w:rsid w:val="00A073D9"/>
    <w:rsid w:val="00A13CA9"/>
    <w:rsid w:val="00A16770"/>
    <w:rsid w:val="00A20B14"/>
    <w:rsid w:val="00A21D2C"/>
    <w:rsid w:val="00A21DE0"/>
    <w:rsid w:val="00A27A1F"/>
    <w:rsid w:val="00A27B56"/>
    <w:rsid w:val="00A356C3"/>
    <w:rsid w:val="00A46288"/>
    <w:rsid w:val="00A544C8"/>
    <w:rsid w:val="00A57991"/>
    <w:rsid w:val="00A610EA"/>
    <w:rsid w:val="00A6650E"/>
    <w:rsid w:val="00A74AE7"/>
    <w:rsid w:val="00A85490"/>
    <w:rsid w:val="00A8578F"/>
    <w:rsid w:val="00A87CE1"/>
    <w:rsid w:val="00A90907"/>
    <w:rsid w:val="00A92438"/>
    <w:rsid w:val="00A93474"/>
    <w:rsid w:val="00A94530"/>
    <w:rsid w:val="00A94BB9"/>
    <w:rsid w:val="00A95055"/>
    <w:rsid w:val="00AB08DF"/>
    <w:rsid w:val="00AB429E"/>
    <w:rsid w:val="00AB4743"/>
    <w:rsid w:val="00AB583C"/>
    <w:rsid w:val="00AB70C0"/>
    <w:rsid w:val="00AC2A62"/>
    <w:rsid w:val="00AC3CF1"/>
    <w:rsid w:val="00AD5A97"/>
    <w:rsid w:val="00AD5DCD"/>
    <w:rsid w:val="00AD6BC6"/>
    <w:rsid w:val="00AD7BA5"/>
    <w:rsid w:val="00AD7D6C"/>
    <w:rsid w:val="00AE0EBA"/>
    <w:rsid w:val="00AE22B1"/>
    <w:rsid w:val="00AE303D"/>
    <w:rsid w:val="00AE43C5"/>
    <w:rsid w:val="00AE49F8"/>
    <w:rsid w:val="00AE5DB3"/>
    <w:rsid w:val="00AF0515"/>
    <w:rsid w:val="00AF329E"/>
    <w:rsid w:val="00AF4409"/>
    <w:rsid w:val="00B00E68"/>
    <w:rsid w:val="00B0154D"/>
    <w:rsid w:val="00B01574"/>
    <w:rsid w:val="00B10B04"/>
    <w:rsid w:val="00B127DD"/>
    <w:rsid w:val="00B13B5A"/>
    <w:rsid w:val="00B160EB"/>
    <w:rsid w:val="00B175A0"/>
    <w:rsid w:val="00B21A07"/>
    <w:rsid w:val="00B222CF"/>
    <w:rsid w:val="00B226B7"/>
    <w:rsid w:val="00B2470D"/>
    <w:rsid w:val="00B24970"/>
    <w:rsid w:val="00B30D52"/>
    <w:rsid w:val="00B3493E"/>
    <w:rsid w:val="00B34C76"/>
    <w:rsid w:val="00B52428"/>
    <w:rsid w:val="00B55CAE"/>
    <w:rsid w:val="00B566BA"/>
    <w:rsid w:val="00B607F5"/>
    <w:rsid w:val="00B62299"/>
    <w:rsid w:val="00B654E5"/>
    <w:rsid w:val="00B72D72"/>
    <w:rsid w:val="00B74E30"/>
    <w:rsid w:val="00B75FB5"/>
    <w:rsid w:val="00B80A68"/>
    <w:rsid w:val="00B827C3"/>
    <w:rsid w:val="00B85895"/>
    <w:rsid w:val="00B873F9"/>
    <w:rsid w:val="00B876F0"/>
    <w:rsid w:val="00B9137F"/>
    <w:rsid w:val="00B92EEC"/>
    <w:rsid w:val="00BA33C9"/>
    <w:rsid w:val="00BA3DD3"/>
    <w:rsid w:val="00BA4071"/>
    <w:rsid w:val="00BA4A9E"/>
    <w:rsid w:val="00BB0B6C"/>
    <w:rsid w:val="00BB1113"/>
    <w:rsid w:val="00BB39CA"/>
    <w:rsid w:val="00BB4962"/>
    <w:rsid w:val="00BB5F6B"/>
    <w:rsid w:val="00BC15A7"/>
    <w:rsid w:val="00BC6FA9"/>
    <w:rsid w:val="00BD1869"/>
    <w:rsid w:val="00BD7D32"/>
    <w:rsid w:val="00BE0A53"/>
    <w:rsid w:val="00BE3D08"/>
    <w:rsid w:val="00BE56D9"/>
    <w:rsid w:val="00BE6244"/>
    <w:rsid w:val="00BF1439"/>
    <w:rsid w:val="00BF2649"/>
    <w:rsid w:val="00BF53F6"/>
    <w:rsid w:val="00C017AF"/>
    <w:rsid w:val="00C028C4"/>
    <w:rsid w:val="00C03705"/>
    <w:rsid w:val="00C1148B"/>
    <w:rsid w:val="00C1352B"/>
    <w:rsid w:val="00C1450E"/>
    <w:rsid w:val="00C16BF3"/>
    <w:rsid w:val="00C21225"/>
    <w:rsid w:val="00C25E85"/>
    <w:rsid w:val="00C268DE"/>
    <w:rsid w:val="00C354B6"/>
    <w:rsid w:val="00C36AA4"/>
    <w:rsid w:val="00C42F2B"/>
    <w:rsid w:val="00C440CC"/>
    <w:rsid w:val="00C450EF"/>
    <w:rsid w:val="00C63543"/>
    <w:rsid w:val="00C651F6"/>
    <w:rsid w:val="00C72DE9"/>
    <w:rsid w:val="00C730F5"/>
    <w:rsid w:val="00C73309"/>
    <w:rsid w:val="00C806AE"/>
    <w:rsid w:val="00C81804"/>
    <w:rsid w:val="00C85981"/>
    <w:rsid w:val="00C923E5"/>
    <w:rsid w:val="00C97312"/>
    <w:rsid w:val="00C975A7"/>
    <w:rsid w:val="00C978A6"/>
    <w:rsid w:val="00CA0ED2"/>
    <w:rsid w:val="00CB3959"/>
    <w:rsid w:val="00CB41F6"/>
    <w:rsid w:val="00CC33D2"/>
    <w:rsid w:val="00CC5307"/>
    <w:rsid w:val="00CC7A85"/>
    <w:rsid w:val="00CD0CC0"/>
    <w:rsid w:val="00CD24A2"/>
    <w:rsid w:val="00CD382F"/>
    <w:rsid w:val="00CE62D8"/>
    <w:rsid w:val="00CF30BC"/>
    <w:rsid w:val="00CF520C"/>
    <w:rsid w:val="00D170CB"/>
    <w:rsid w:val="00D24383"/>
    <w:rsid w:val="00D25AA4"/>
    <w:rsid w:val="00D26AD7"/>
    <w:rsid w:val="00D27D08"/>
    <w:rsid w:val="00D33C91"/>
    <w:rsid w:val="00D341E6"/>
    <w:rsid w:val="00D40B5F"/>
    <w:rsid w:val="00D50E7E"/>
    <w:rsid w:val="00D57D12"/>
    <w:rsid w:val="00D57D9B"/>
    <w:rsid w:val="00D60AF2"/>
    <w:rsid w:val="00D61A03"/>
    <w:rsid w:val="00D63191"/>
    <w:rsid w:val="00D6535F"/>
    <w:rsid w:val="00D657CC"/>
    <w:rsid w:val="00D67735"/>
    <w:rsid w:val="00D740D7"/>
    <w:rsid w:val="00D81517"/>
    <w:rsid w:val="00D818DB"/>
    <w:rsid w:val="00D90600"/>
    <w:rsid w:val="00D90A1A"/>
    <w:rsid w:val="00D9666A"/>
    <w:rsid w:val="00D9767E"/>
    <w:rsid w:val="00DA18D7"/>
    <w:rsid w:val="00DA285B"/>
    <w:rsid w:val="00DA4FAF"/>
    <w:rsid w:val="00DB47A7"/>
    <w:rsid w:val="00DB6CBE"/>
    <w:rsid w:val="00DC703E"/>
    <w:rsid w:val="00DD183A"/>
    <w:rsid w:val="00DD4ABB"/>
    <w:rsid w:val="00DD4FCD"/>
    <w:rsid w:val="00DD5886"/>
    <w:rsid w:val="00DE195F"/>
    <w:rsid w:val="00DE417D"/>
    <w:rsid w:val="00DE78D4"/>
    <w:rsid w:val="00DF0CDA"/>
    <w:rsid w:val="00DF1AC3"/>
    <w:rsid w:val="00E04828"/>
    <w:rsid w:val="00E0598E"/>
    <w:rsid w:val="00E077CA"/>
    <w:rsid w:val="00E105D1"/>
    <w:rsid w:val="00E16E40"/>
    <w:rsid w:val="00E20490"/>
    <w:rsid w:val="00E2737F"/>
    <w:rsid w:val="00E27D10"/>
    <w:rsid w:val="00E41546"/>
    <w:rsid w:val="00E43363"/>
    <w:rsid w:val="00E43992"/>
    <w:rsid w:val="00E43A17"/>
    <w:rsid w:val="00E51603"/>
    <w:rsid w:val="00E5465E"/>
    <w:rsid w:val="00E5765A"/>
    <w:rsid w:val="00E62B39"/>
    <w:rsid w:val="00E65DE7"/>
    <w:rsid w:val="00E714F0"/>
    <w:rsid w:val="00E73D67"/>
    <w:rsid w:val="00E8054E"/>
    <w:rsid w:val="00E81695"/>
    <w:rsid w:val="00E87AE3"/>
    <w:rsid w:val="00E91BB6"/>
    <w:rsid w:val="00E930B0"/>
    <w:rsid w:val="00E94043"/>
    <w:rsid w:val="00E961E1"/>
    <w:rsid w:val="00EA0377"/>
    <w:rsid w:val="00EA1320"/>
    <w:rsid w:val="00EA44D1"/>
    <w:rsid w:val="00EA65D7"/>
    <w:rsid w:val="00EA7103"/>
    <w:rsid w:val="00EB15DD"/>
    <w:rsid w:val="00EB6EBD"/>
    <w:rsid w:val="00ED522E"/>
    <w:rsid w:val="00ED7BE3"/>
    <w:rsid w:val="00EE02F8"/>
    <w:rsid w:val="00EE3C51"/>
    <w:rsid w:val="00EE59AB"/>
    <w:rsid w:val="00EE689C"/>
    <w:rsid w:val="00EF102A"/>
    <w:rsid w:val="00EF311F"/>
    <w:rsid w:val="00EF3574"/>
    <w:rsid w:val="00EF7B83"/>
    <w:rsid w:val="00F02FB1"/>
    <w:rsid w:val="00F0451C"/>
    <w:rsid w:val="00F076AD"/>
    <w:rsid w:val="00F11241"/>
    <w:rsid w:val="00F210B3"/>
    <w:rsid w:val="00F2433C"/>
    <w:rsid w:val="00F332E8"/>
    <w:rsid w:val="00F34201"/>
    <w:rsid w:val="00F353B5"/>
    <w:rsid w:val="00F35CAF"/>
    <w:rsid w:val="00F36171"/>
    <w:rsid w:val="00F44E69"/>
    <w:rsid w:val="00F466F9"/>
    <w:rsid w:val="00F50397"/>
    <w:rsid w:val="00F6120A"/>
    <w:rsid w:val="00F62BFC"/>
    <w:rsid w:val="00F661D0"/>
    <w:rsid w:val="00F836EE"/>
    <w:rsid w:val="00F844DF"/>
    <w:rsid w:val="00F85B5B"/>
    <w:rsid w:val="00F861F5"/>
    <w:rsid w:val="00F87E2F"/>
    <w:rsid w:val="00F95D76"/>
    <w:rsid w:val="00FA2B4D"/>
    <w:rsid w:val="00FA41F5"/>
    <w:rsid w:val="00FA4E1D"/>
    <w:rsid w:val="00FA5421"/>
    <w:rsid w:val="00FA5A24"/>
    <w:rsid w:val="00FB0BE7"/>
    <w:rsid w:val="00FB2943"/>
    <w:rsid w:val="00FB2A69"/>
    <w:rsid w:val="00FB6F8A"/>
    <w:rsid w:val="00FB70A1"/>
    <w:rsid w:val="00FC06D1"/>
    <w:rsid w:val="00FC2108"/>
    <w:rsid w:val="00FC4417"/>
    <w:rsid w:val="00FD035E"/>
    <w:rsid w:val="00FD47A3"/>
    <w:rsid w:val="00FE7D3F"/>
    <w:rsid w:val="00FF0E6A"/>
    <w:rsid w:val="00FF48FE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6FEA29"/>
  <w15:docId w15:val="{124FD5F5-B0CF-4813-9390-2D03B4FC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4B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3749B4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A94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7873">
                  <w:marLeft w:val="120"/>
                  <w:marRight w:val="9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58565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76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2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713536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46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561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14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83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0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46700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48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4787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89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1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8171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95807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46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16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91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4816311">
              <w:marLeft w:val="0"/>
              <w:marRight w:val="0"/>
              <w:marTop w:val="0"/>
              <w:marBottom w:val="225"/>
              <w:divBdr>
                <w:top w:val="single" w:sz="6" w:space="15" w:color="1484C7"/>
                <w:left w:val="none" w:sz="0" w:space="0" w:color="auto"/>
                <w:bottom w:val="single" w:sz="6" w:space="15" w:color="1484C7"/>
                <w:right w:val="none" w:sz="0" w:space="0" w:color="auto"/>
              </w:divBdr>
            </w:div>
          </w:divsChild>
        </w:div>
        <w:div w:id="7396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E74FE-21F4-7F43-8FCD-64568CFFE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3</Pages>
  <Words>1154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Mravinacová</dc:creator>
  <cp:keywords/>
  <dc:description/>
  <cp:lastModifiedBy>Jitka Mravinacová</cp:lastModifiedBy>
  <cp:revision>27</cp:revision>
  <cp:lastPrinted>2021-10-04T07:42:00Z</cp:lastPrinted>
  <dcterms:created xsi:type="dcterms:W3CDTF">2023-02-26T12:27:00Z</dcterms:created>
  <dcterms:modified xsi:type="dcterms:W3CDTF">2023-03-15T09:33:00Z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2023-02-26T12:27:35Z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ec2dd6f9-699a-4428-a0eb-4bdf307855e6</vt:lpwstr>
  </property>
  <property fmtid="{D5CDD505-2E9C-101B-9397-08002B2CF9AE}" pid="8" name="MSIP_Label_2063cd7f-2d21-486a-9f29-9c1683fdd175_ContentBits">
    <vt:lpwstr>0</vt:lpwstr>
  </property>
</Properties>
</file>